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79B8" w14:textId="7DDB7B73" w:rsidR="00CC6D68" w:rsidRDefault="000D292A" w:rsidP="00020050">
      <w:pPr>
        <w:pStyle w:val="Title"/>
      </w:pPr>
      <w:r>
        <w:rPr>
          <w:noProof/>
        </w:rPr>
        <w:drawing>
          <wp:inline distT="0" distB="0" distL="0" distR="0" wp14:anchorId="341D39DD" wp14:editId="6D33F8C4">
            <wp:extent cx="1981200" cy="723900"/>
            <wp:effectExtent l="0" t="0" r="0" b="0"/>
            <wp:docPr id="19784804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24450" w14:textId="77777777" w:rsidR="00E53996" w:rsidRDefault="00E53996" w:rsidP="00020050">
      <w:pPr>
        <w:pStyle w:val="Title"/>
      </w:pPr>
    </w:p>
    <w:p w14:paraId="65A2E4C1" w14:textId="747AF412" w:rsidR="00CC6D68" w:rsidRDefault="00CC6D68" w:rsidP="00020050">
      <w:pPr>
        <w:pStyle w:val="Title"/>
      </w:pPr>
      <w:r>
        <w:t>A Review of the Basis of Rating</w:t>
      </w:r>
    </w:p>
    <w:p w14:paraId="352E9FA6" w14:textId="77777777" w:rsidR="00CC6D68" w:rsidRPr="00960281" w:rsidRDefault="00CC6D68" w:rsidP="00020050">
      <w:pPr>
        <w:pStyle w:val="Title"/>
        <w:rPr>
          <w:rFonts w:ascii="Cambria" w:hAnsi="Cambria"/>
          <w:bCs/>
          <w:color w:val="365F91"/>
        </w:rPr>
      </w:pPr>
      <w:r>
        <w:t>Consultation Paper</w:t>
      </w:r>
    </w:p>
    <w:p w14:paraId="58AF6D7C" w14:textId="09A6BEF0" w:rsidR="00CC6D68" w:rsidRDefault="006200C2" w:rsidP="00020050">
      <w:pPr>
        <w:rPr>
          <w:sz w:val="28"/>
          <w:szCs w:val="28"/>
        </w:rPr>
      </w:pPr>
      <w:r w:rsidRPr="006200C2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CD884C" wp14:editId="4B5E81EF">
                <wp:simplePos x="0" y="0"/>
                <wp:positionH relativeFrom="column">
                  <wp:posOffset>106045</wp:posOffset>
                </wp:positionH>
                <wp:positionV relativeFrom="paragraph">
                  <wp:posOffset>534670</wp:posOffset>
                </wp:positionV>
                <wp:extent cx="5638800" cy="55499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54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2DC0D" w14:textId="77777777" w:rsidR="000755E4" w:rsidRDefault="000755E4" w:rsidP="006200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1E39">
                              <w:rPr>
                                <w:b/>
                                <w:sz w:val="24"/>
                                <w:szCs w:val="24"/>
                              </w:rPr>
                              <w:t>Consultation Period</w:t>
                            </w:r>
                            <w:r w:rsidRPr="00171E3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F000B2D" w14:textId="77777777" w:rsidR="000755E4" w:rsidRDefault="000755E4" w:rsidP="006200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4B766C" w14:textId="1BEAE31D" w:rsidR="000755E4" w:rsidRPr="000755E4" w:rsidRDefault="000755E4" w:rsidP="006200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707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E005EA" w:rsidRPr="00860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 w:rsidR="00B72AB8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B72AB8" w:rsidRPr="00B72AB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72A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E005EA" w:rsidRPr="00860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Thursday </w:t>
                            </w:r>
                            <w:r w:rsidR="00B72AB8">
                              <w:rPr>
                                <w:b/>
                                <w:sz w:val="24"/>
                                <w:szCs w:val="24"/>
                              </w:rPr>
                              <w:t>23rd</w:t>
                            </w:r>
                            <w:r w:rsidR="00E005EA" w:rsidRPr="00860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November 2023</w:t>
                            </w:r>
                          </w:p>
                          <w:p w14:paraId="4C2CBF11" w14:textId="77777777" w:rsidR="000755E4" w:rsidRPr="000755E4" w:rsidRDefault="000755E4" w:rsidP="006200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FF5855" w14:textId="5417C7B4" w:rsidR="000755E4" w:rsidRPr="000755E4" w:rsidRDefault="000755E4" w:rsidP="006200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55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Information Session at the </w:t>
                            </w:r>
                            <w:r w:rsidR="00860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Senior Citizens Club, 11 Tumby </w:t>
                            </w:r>
                            <w:proofErr w:type="spellStart"/>
                            <w:r w:rsidR="0086077B">
                              <w:rPr>
                                <w:b/>
                                <w:sz w:val="24"/>
                                <w:szCs w:val="24"/>
                              </w:rPr>
                              <w:t>Tce</w:t>
                            </w:r>
                            <w:proofErr w:type="spellEnd"/>
                            <w:r w:rsidR="0086077B">
                              <w:rPr>
                                <w:b/>
                                <w:sz w:val="24"/>
                                <w:szCs w:val="24"/>
                              </w:rPr>
                              <w:t>, Tumby Bay</w:t>
                            </w:r>
                          </w:p>
                          <w:p w14:paraId="75CA1289" w14:textId="77777777" w:rsidR="000755E4" w:rsidRPr="000755E4" w:rsidRDefault="000755E4" w:rsidP="006200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BC5A44" w14:textId="77777777" w:rsidR="0086077B" w:rsidRPr="00D435E9" w:rsidRDefault="000755E4" w:rsidP="00D435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35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86077B" w:rsidRPr="00D435E9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86077B" w:rsidRPr="00D435E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6077B" w:rsidRPr="00D435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November 2023 at 6pm </w:t>
                            </w:r>
                          </w:p>
                          <w:p w14:paraId="1265E118" w14:textId="77777777" w:rsidR="000755E4" w:rsidRPr="000755E4" w:rsidRDefault="000755E4" w:rsidP="00D70E3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0BD62F" w14:textId="018045D7" w:rsidR="000755E4" w:rsidRPr="000755E4" w:rsidRDefault="000755E4" w:rsidP="00D70E3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55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Drop-In or Call Sessions at </w:t>
                            </w:r>
                            <w:r w:rsidR="00D435E9">
                              <w:rPr>
                                <w:b/>
                                <w:sz w:val="24"/>
                                <w:szCs w:val="24"/>
                              </w:rPr>
                              <w:t>Council Office</w:t>
                            </w:r>
                          </w:p>
                          <w:p w14:paraId="41842D9A" w14:textId="77777777" w:rsidR="000755E4" w:rsidRPr="000755E4" w:rsidRDefault="000755E4" w:rsidP="00D70E3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C44721" w14:textId="66F6FF81" w:rsidR="000755E4" w:rsidRDefault="00D435E9" w:rsidP="00D435E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148520823"/>
                            <w:r w:rsidRPr="00D435E9">
                              <w:rPr>
                                <w:b/>
                                <w:sz w:val="24"/>
                                <w:szCs w:val="24"/>
                              </w:rPr>
                              <w:t>Thursday 9 November 2023 – 2:30pm – 4:30pm</w:t>
                            </w:r>
                          </w:p>
                          <w:p w14:paraId="2C2FDCF0" w14:textId="77777777" w:rsidR="00D435E9" w:rsidRDefault="00D435E9" w:rsidP="00D435E9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6E8C17" w14:textId="33CBCACD" w:rsidR="00D435E9" w:rsidRPr="00D435E9" w:rsidRDefault="00D435E9" w:rsidP="00D435E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35E9">
                              <w:rPr>
                                <w:b/>
                                <w:sz w:val="24"/>
                                <w:szCs w:val="24"/>
                              </w:rPr>
                              <w:t>Tuesday 14 November 2023 – 5pm – 7pm</w:t>
                            </w:r>
                          </w:p>
                          <w:bookmarkEnd w:id="0"/>
                          <w:p w14:paraId="2B768582" w14:textId="77777777" w:rsidR="000755E4" w:rsidRPr="000755E4" w:rsidRDefault="000755E4" w:rsidP="006200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C27024" w14:textId="581CECC1" w:rsidR="000755E4" w:rsidRPr="000755E4" w:rsidRDefault="000755E4" w:rsidP="006200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55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Public Meeting at the Council Chambers, </w:t>
                            </w:r>
                            <w:proofErr w:type="spellStart"/>
                            <w:r w:rsidR="0086077B">
                              <w:rPr>
                                <w:b/>
                                <w:sz w:val="24"/>
                                <w:szCs w:val="24"/>
                              </w:rPr>
                              <w:t>Cnr</w:t>
                            </w:r>
                            <w:proofErr w:type="spellEnd"/>
                            <w:r w:rsidR="00860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6077B">
                              <w:rPr>
                                <w:b/>
                                <w:sz w:val="24"/>
                                <w:szCs w:val="24"/>
                              </w:rPr>
                              <w:t>Mortlock</w:t>
                            </w:r>
                            <w:proofErr w:type="spellEnd"/>
                            <w:r w:rsidR="00860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Street and West Terrace</w:t>
                            </w:r>
                          </w:p>
                          <w:p w14:paraId="2E38D8B6" w14:textId="77777777" w:rsidR="000755E4" w:rsidRPr="000755E4" w:rsidRDefault="000755E4" w:rsidP="006200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99C2F0" w14:textId="5B3D44F8" w:rsidR="000755E4" w:rsidRPr="00D435E9" w:rsidRDefault="00850CF2" w:rsidP="00D435E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35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 w:rsidR="00B72AB8" w:rsidRPr="00D435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="00B72AB8" w:rsidRPr="00D435E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72AB8" w:rsidRPr="00D435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Pr="00D435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2023 at 5.30pm</w:t>
                            </w:r>
                          </w:p>
                          <w:p w14:paraId="74A9102B" w14:textId="77777777" w:rsidR="000755E4" w:rsidRPr="000755E4" w:rsidRDefault="000755E4" w:rsidP="006200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5B09EE" w14:textId="3654F789" w:rsidR="000755E4" w:rsidRPr="000755E4" w:rsidRDefault="000755E4" w:rsidP="006200C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55E4">
                              <w:rPr>
                                <w:b/>
                                <w:sz w:val="24"/>
                                <w:szCs w:val="24"/>
                              </w:rPr>
                              <w:t>Submissions</w:t>
                            </w:r>
                          </w:p>
                          <w:p w14:paraId="7498B96A" w14:textId="77777777" w:rsidR="000755E4" w:rsidRPr="000755E4" w:rsidRDefault="000755E4" w:rsidP="006200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755E4">
                              <w:rPr>
                                <w:sz w:val="24"/>
                                <w:szCs w:val="24"/>
                              </w:rPr>
                              <w:t>Written submissions to:</w:t>
                            </w:r>
                          </w:p>
                          <w:p w14:paraId="14B99EC2" w14:textId="43C4D842" w:rsidR="000755E4" w:rsidRPr="000755E4" w:rsidRDefault="000755E4" w:rsidP="00E407A1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55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Chief Executive Officer</w:t>
                            </w:r>
                          </w:p>
                          <w:p w14:paraId="6D092488" w14:textId="53C7F5D0" w:rsidR="000755E4" w:rsidRPr="000755E4" w:rsidRDefault="000755E4" w:rsidP="00E407A1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55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District Council of </w:t>
                            </w:r>
                            <w:r w:rsidR="00850C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Tumby Bay</w:t>
                            </w:r>
                          </w:p>
                          <w:p w14:paraId="00EA627A" w14:textId="6EADECEF" w:rsidR="000755E4" w:rsidRPr="000755E4" w:rsidRDefault="000755E4" w:rsidP="00E407A1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55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 Box </w:t>
                            </w:r>
                            <w:r w:rsidR="00850C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61, Tumby Bay, SA 5605</w:t>
                            </w:r>
                          </w:p>
                          <w:p w14:paraId="0391D9AD" w14:textId="77777777" w:rsidR="000755E4" w:rsidRPr="000755E4" w:rsidRDefault="000755E4" w:rsidP="00E407A1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76ED5C" w14:textId="26BE782E" w:rsidR="000755E4" w:rsidRPr="000755E4" w:rsidRDefault="00850CF2" w:rsidP="00E407A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Cnr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Mortlock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Street and West Terrace</w:t>
                            </w:r>
                          </w:p>
                          <w:p w14:paraId="015044AB" w14:textId="77777777" w:rsidR="000755E4" w:rsidRPr="000755E4" w:rsidRDefault="000755E4" w:rsidP="00E407A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13D951" w14:textId="36F6B48E" w:rsidR="000755E4" w:rsidRPr="000755E4" w:rsidRDefault="000755E4" w:rsidP="00E407A1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55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850C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dctumby@tumbybay.sa.gov.au</w:t>
                            </w:r>
                          </w:p>
                          <w:p w14:paraId="56C97BED" w14:textId="77777777" w:rsidR="000755E4" w:rsidRPr="000755E4" w:rsidRDefault="000755E4" w:rsidP="00E53996">
                            <w:pPr>
                              <w:pStyle w:val="ListParagraph"/>
                              <w:spacing w:after="0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3E21587" w14:textId="5E919095" w:rsidR="000755E4" w:rsidRPr="000755E4" w:rsidRDefault="000755E4" w:rsidP="00620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55E4">
                              <w:rPr>
                                <w:sz w:val="24"/>
                                <w:szCs w:val="24"/>
                              </w:rPr>
                              <w:t>Verbal and written submissions will be accepted at the Public Meetings.</w:t>
                            </w:r>
                          </w:p>
                          <w:p w14:paraId="4360CEC2" w14:textId="77777777" w:rsidR="000755E4" w:rsidRDefault="00075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D8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5pt;margin-top:42.1pt;width:444pt;height:43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">
                <v:textbox>
                  <w:txbxContent>
                    <w:p w14:paraId="2632DC0D" w14:textId="77777777" w:rsidR="000755E4" w:rsidRDefault="000755E4" w:rsidP="006200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71E39">
                        <w:rPr>
                          <w:b/>
                          <w:sz w:val="24"/>
                          <w:szCs w:val="24"/>
                        </w:rPr>
                        <w:t>Consultation Period</w:t>
                      </w:r>
                      <w:r w:rsidRPr="00171E39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4F000B2D" w14:textId="77777777" w:rsidR="000755E4" w:rsidRDefault="000755E4" w:rsidP="006200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4B766C" w14:textId="1BEAE31D" w:rsidR="000755E4" w:rsidRPr="000755E4" w:rsidRDefault="000755E4" w:rsidP="006200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9707C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E005EA" w:rsidRPr="0086077B">
                        <w:rPr>
                          <w:b/>
                          <w:sz w:val="24"/>
                          <w:szCs w:val="24"/>
                        </w:rPr>
                        <w:t xml:space="preserve">Thursday </w:t>
                      </w:r>
                      <w:r w:rsidR="00B72AB8">
                        <w:rPr>
                          <w:b/>
                          <w:sz w:val="24"/>
                          <w:szCs w:val="24"/>
                        </w:rPr>
                        <w:t>26</w:t>
                      </w:r>
                      <w:r w:rsidR="00B72AB8" w:rsidRPr="00B72AB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72AB8">
                        <w:rPr>
                          <w:b/>
                          <w:sz w:val="24"/>
                          <w:szCs w:val="24"/>
                        </w:rPr>
                        <w:t xml:space="preserve"> October</w:t>
                      </w:r>
                      <w:r w:rsidR="00E005EA" w:rsidRPr="0086077B">
                        <w:rPr>
                          <w:b/>
                          <w:sz w:val="24"/>
                          <w:szCs w:val="24"/>
                        </w:rPr>
                        <w:t xml:space="preserve"> to Thursday </w:t>
                      </w:r>
                      <w:r w:rsidR="00B72AB8">
                        <w:rPr>
                          <w:b/>
                          <w:sz w:val="24"/>
                          <w:szCs w:val="24"/>
                        </w:rPr>
                        <w:t>23rd</w:t>
                      </w:r>
                      <w:r w:rsidR="00E005EA" w:rsidRPr="0086077B">
                        <w:rPr>
                          <w:b/>
                          <w:sz w:val="24"/>
                          <w:szCs w:val="24"/>
                        </w:rPr>
                        <w:t xml:space="preserve"> November 2023</w:t>
                      </w:r>
                    </w:p>
                    <w:p w14:paraId="4C2CBF11" w14:textId="77777777" w:rsidR="000755E4" w:rsidRPr="000755E4" w:rsidRDefault="000755E4" w:rsidP="006200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3FF5855" w14:textId="5417C7B4" w:rsidR="000755E4" w:rsidRPr="000755E4" w:rsidRDefault="000755E4" w:rsidP="006200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755E4">
                        <w:rPr>
                          <w:b/>
                          <w:sz w:val="24"/>
                          <w:szCs w:val="24"/>
                        </w:rPr>
                        <w:t xml:space="preserve">Information Session at the </w:t>
                      </w:r>
                      <w:r w:rsidR="0086077B">
                        <w:rPr>
                          <w:b/>
                          <w:sz w:val="24"/>
                          <w:szCs w:val="24"/>
                        </w:rPr>
                        <w:t xml:space="preserve">Senior Citizens Club, 11 Tumby </w:t>
                      </w:r>
                      <w:proofErr w:type="spellStart"/>
                      <w:r w:rsidR="0086077B">
                        <w:rPr>
                          <w:b/>
                          <w:sz w:val="24"/>
                          <w:szCs w:val="24"/>
                        </w:rPr>
                        <w:t>Tce</w:t>
                      </w:r>
                      <w:proofErr w:type="spellEnd"/>
                      <w:r w:rsidR="0086077B">
                        <w:rPr>
                          <w:b/>
                          <w:sz w:val="24"/>
                          <w:szCs w:val="24"/>
                        </w:rPr>
                        <w:t>, Tumby Bay</w:t>
                      </w:r>
                    </w:p>
                    <w:p w14:paraId="75CA1289" w14:textId="77777777" w:rsidR="000755E4" w:rsidRPr="000755E4" w:rsidRDefault="000755E4" w:rsidP="006200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FBC5A44" w14:textId="77777777" w:rsidR="0086077B" w:rsidRPr="00D435E9" w:rsidRDefault="000755E4" w:rsidP="00D435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435E9">
                        <w:rPr>
                          <w:b/>
                          <w:sz w:val="24"/>
                          <w:szCs w:val="24"/>
                        </w:rPr>
                        <w:t xml:space="preserve">Wednesday </w:t>
                      </w:r>
                      <w:r w:rsidR="0086077B" w:rsidRPr="00D435E9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86077B" w:rsidRPr="00D435E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6077B" w:rsidRPr="00D435E9">
                        <w:rPr>
                          <w:b/>
                          <w:sz w:val="24"/>
                          <w:szCs w:val="24"/>
                        </w:rPr>
                        <w:t xml:space="preserve"> November 2023 at 6pm </w:t>
                      </w:r>
                    </w:p>
                    <w:p w14:paraId="1265E118" w14:textId="77777777" w:rsidR="000755E4" w:rsidRPr="000755E4" w:rsidRDefault="000755E4" w:rsidP="00D70E3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60BD62F" w14:textId="018045D7" w:rsidR="000755E4" w:rsidRPr="000755E4" w:rsidRDefault="000755E4" w:rsidP="00D70E3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755E4">
                        <w:rPr>
                          <w:b/>
                          <w:sz w:val="24"/>
                          <w:szCs w:val="24"/>
                        </w:rPr>
                        <w:t xml:space="preserve">Drop-In or Call Sessions at </w:t>
                      </w:r>
                      <w:r w:rsidR="00D435E9">
                        <w:rPr>
                          <w:b/>
                          <w:sz w:val="24"/>
                          <w:szCs w:val="24"/>
                        </w:rPr>
                        <w:t>Council Office</w:t>
                      </w:r>
                    </w:p>
                    <w:p w14:paraId="41842D9A" w14:textId="77777777" w:rsidR="000755E4" w:rsidRPr="000755E4" w:rsidRDefault="000755E4" w:rsidP="00D70E3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8C44721" w14:textId="66F6FF81" w:rsidR="000755E4" w:rsidRDefault="00D435E9" w:rsidP="00D435E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Hlk148520823"/>
                      <w:r w:rsidRPr="00D435E9">
                        <w:rPr>
                          <w:b/>
                          <w:sz w:val="24"/>
                          <w:szCs w:val="24"/>
                        </w:rPr>
                        <w:t>Thursday 9 November 2023 – 2:30pm – 4:30pm</w:t>
                      </w:r>
                    </w:p>
                    <w:p w14:paraId="2C2FDCF0" w14:textId="77777777" w:rsidR="00D435E9" w:rsidRDefault="00D435E9" w:rsidP="00D435E9">
                      <w:pPr>
                        <w:pStyle w:val="ListParagraph"/>
                        <w:spacing w:after="0"/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6E8C17" w14:textId="33CBCACD" w:rsidR="00D435E9" w:rsidRPr="00D435E9" w:rsidRDefault="00D435E9" w:rsidP="00D435E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435E9">
                        <w:rPr>
                          <w:b/>
                          <w:sz w:val="24"/>
                          <w:szCs w:val="24"/>
                        </w:rPr>
                        <w:t>Tuesday 14 November 2023 – 5pm – 7pm</w:t>
                      </w:r>
                    </w:p>
                    <w:bookmarkEnd w:id="1"/>
                    <w:p w14:paraId="2B768582" w14:textId="77777777" w:rsidR="000755E4" w:rsidRPr="000755E4" w:rsidRDefault="000755E4" w:rsidP="006200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8C27024" w14:textId="581CECC1" w:rsidR="000755E4" w:rsidRPr="000755E4" w:rsidRDefault="000755E4" w:rsidP="006200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755E4">
                        <w:rPr>
                          <w:b/>
                          <w:sz w:val="24"/>
                          <w:szCs w:val="24"/>
                        </w:rPr>
                        <w:t xml:space="preserve">Public Meeting at the Council Chambers, </w:t>
                      </w:r>
                      <w:proofErr w:type="spellStart"/>
                      <w:r w:rsidR="0086077B">
                        <w:rPr>
                          <w:b/>
                          <w:sz w:val="24"/>
                          <w:szCs w:val="24"/>
                        </w:rPr>
                        <w:t>Cnr</w:t>
                      </w:r>
                      <w:proofErr w:type="spellEnd"/>
                      <w:r w:rsidR="0086077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6077B">
                        <w:rPr>
                          <w:b/>
                          <w:sz w:val="24"/>
                          <w:szCs w:val="24"/>
                        </w:rPr>
                        <w:t>Mortlock</w:t>
                      </w:r>
                      <w:proofErr w:type="spellEnd"/>
                      <w:r w:rsidR="0086077B">
                        <w:rPr>
                          <w:b/>
                          <w:sz w:val="24"/>
                          <w:szCs w:val="24"/>
                        </w:rPr>
                        <w:t xml:space="preserve"> Street and West Terrace</w:t>
                      </w:r>
                    </w:p>
                    <w:p w14:paraId="2E38D8B6" w14:textId="77777777" w:rsidR="000755E4" w:rsidRPr="000755E4" w:rsidRDefault="000755E4" w:rsidP="006200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C99C2F0" w14:textId="5B3D44F8" w:rsidR="000755E4" w:rsidRPr="00D435E9" w:rsidRDefault="00850CF2" w:rsidP="00D435E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35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Tuesday </w:t>
                      </w:r>
                      <w:r w:rsidR="00B72AB8" w:rsidRPr="00D435E9">
                        <w:rPr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  <w:r w:rsidR="00B72AB8" w:rsidRPr="00D435E9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B72AB8" w:rsidRPr="00D435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November</w:t>
                      </w:r>
                      <w:r w:rsidRPr="00D435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2023 at 5.30pm</w:t>
                      </w:r>
                    </w:p>
                    <w:p w14:paraId="74A9102B" w14:textId="77777777" w:rsidR="000755E4" w:rsidRPr="000755E4" w:rsidRDefault="000755E4" w:rsidP="006200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95B09EE" w14:textId="3654F789" w:rsidR="000755E4" w:rsidRPr="000755E4" w:rsidRDefault="000755E4" w:rsidP="006200C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755E4">
                        <w:rPr>
                          <w:b/>
                          <w:sz w:val="24"/>
                          <w:szCs w:val="24"/>
                        </w:rPr>
                        <w:t>Submissions</w:t>
                      </w:r>
                    </w:p>
                    <w:p w14:paraId="7498B96A" w14:textId="77777777" w:rsidR="000755E4" w:rsidRPr="000755E4" w:rsidRDefault="000755E4" w:rsidP="006200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755E4">
                        <w:rPr>
                          <w:sz w:val="24"/>
                          <w:szCs w:val="24"/>
                        </w:rPr>
                        <w:t>Written submissions to:</w:t>
                      </w:r>
                    </w:p>
                    <w:p w14:paraId="14B99EC2" w14:textId="43C4D842" w:rsidR="000755E4" w:rsidRPr="000755E4" w:rsidRDefault="000755E4" w:rsidP="00E407A1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755E4">
                        <w:rPr>
                          <w:b/>
                          <w:bCs/>
                          <w:sz w:val="24"/>
                          <w:szCs w:val="24"/>
                        </w:rPr>
                        <w:t>Chief Executive Officer</w:t>
                      </w:r>
                    </w:p>
                    <w:p w14:paraId="6D092488" w14:textId="53C7F5D0" w:rsidR="000755E4" w:rsidRPr="000755E4" w:rsidRDefault="000755E4" w:rsidP="00E407A1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755E4">
                        <w:rPr>
                          <w:b/>
                          <w:bCs/>
                          <w:sz w:val="24"/>
                          <w:szCs w:val="24"/>
                        </w:rPr>
                        <w:t xml:space="preserve">District Council of </w:t>
                      </w:r>
                      <w:r w:rsidR="00850CF2">
                        <w:rPr>
                          <w:b/>
                          <w:bCs/>
                          <w:sz w:val="24"/>
                          <w:szCs w:val="24"/>
                        </w:rPr>
                        <w:t>Tumby Bay</w:t>
                      </w:r>
                    </w:p>
                    <w:p w14:paraId="00EA627A" w14:textId="6EADECEF" w:rsidR="000755E4" w:rsidRPr="000755E4" w:rsidRDefault="000755E4" w:rsidP="00E407A1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755E4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 Box </w:t>
                      </w:r>
                      <w:r w:rsidR="00850CF2">
                        <w:rPr>
                          <w:b/>
                          <w:bCs/>
                          <w:sz w:val="24"/>
                          <w:szCs w:val="24"/>
                        </w:rPr>
                        <w:t>61, Tumby Bay, SA 5605</w:t>
                      </w:r>
                    </w:p>
                    <w:p w14:paraId="0391D9AD" w14:textId="77777777" w:rsidR="000755E4" w:rsidRPr="000755E4" w:rsidRDefault="000755E4" w:rsidP="00E407A1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76ED5C" w14:textId="26BE782E" w:rsidR="000755E4" w:rsidRPr="000755E4" w:rsidRDefault="00850CF2" w:rsidP="00E407A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Cnr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Mortlock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Street and West Terrace</w:t>
                      </w:r>
                    </w:p>
                    <w:p w14:paraId="015044AB" w14:textId="77777777" w:rsidR="000755E4" w:rsidRPr="000755E4" w:rsidRDefault="000755E4" w:rsidP="00E407A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3013D951" w14:textId="36F6B48E" w:rsidR="000755E4" w:rsidRPr="000755E4" w:rsidRDefault="000755E4" w:rsidP="00E407A1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755E4">
                        <w:rPr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r w:rsidR="00850CF2">
                        <w:rPr>
                          <w:b/>
                          <w:bCs/>
                          <w:sz w:val="24"/>
                          <w:szCs w:val="24"/>
                        </w:rPr>
                        <w:t>dctumby@tumbybay.sa.gov.au</w:t>
                      </w:r>
                    </w:p>
                    <w:p w14:paraId="56C97BED" w14:textId="77777777" w:rsidR="000755E4" w:rsidRPr="000755E4" w:rsidRDefault="000755E4" w:rsidP="00E53996">
                      <w:pPr>
                        <w:pStyle w:val="ListParagraph"/>
                        <w:spacing w:after="0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14:paraId="73E21587" w14:textId="5E919095" w:rsidR="000755E4" w:rsidRPr="000755E4" w:rsidRDefault="000755E4" w:rsidP="006200C2">
                      <w:pPr>
                        <w:rPr>
                          <w:sz w:val="24"/>
                          <w:szCs w:val="24"/>
                        </w:rPr>
                      </w:pPr>
                      <w:r w:rsidRPr="000755E4">
                        <w:rPr>
                          <w:sz w:val="24"/>
                          <w:szCs w:val="24"/>
                        </w:rPr>
                        <w:t>Verbal and written submissions will be accepted at the Public Meetings.</w:t>
                      </w:r>
                    </w:p>
                    <w:p w14:paraId="4360CEC2" w14:textId="77777777" w:rsidR="000755E4" w:rsidRDefault="000755E4"/>
                  </w:txbxContent>
                </v:textbox>
                <w10:wrap type="square"/>
              </v:shape>
            </w:pict>
          </mc:Fallback>
        </mc:AlternateContent>
      </w:r>
      <w:r w:rsidR="00CC6D68" w:rsidRPr="00171E39">
        <w:rPr>
          <w:sz w:val="28"/>
          <w:szCs w:val="28"/>
        </w:rPr>
        <w:t>This paper is presented to the community to provide information and invite fee</w:t>
      </w:r>
      <w:r w:rsidR="000D798F">
        <w:rPr>
          <w:sz w:val="28"/>
          <w:szCs w:val="28"/>
        </w:rPr>
        <w:t>dback on</w:t>
      </w:r>
      <w:r w:rsidR="00E53996">
        <w:rPr>
          <w:sz w:val="28"/>
          <w:szCs w:val="28"/>
        </w:rPr>
        <w:t xml:space="preserve"> required and possible</w:t>
      </w:r>
      <w:r w:rsidR="000D798F">
        <w:rPr>
          <w:sz w:val="28"/>
          <w:szCs w:val="28"/>
        </w:rPr>
        <w:t xml:space="preserve"> changes to </w:t>
      </w:r>
      <w:r w:rsidR="0087000B">
        <w:rPr>
          <w:sz w:val="28"/>
          <w:szCs w:val="28"/>
        </w:rPr>
        <w:t xml:space="preserve">the </w:t>
      </w:r>
      <w:r w:rsidR="000D798F">
        <w:rPr>
          <w:sz w:val="28"/>
          <w:szCs w:val="28"/>
        </w:rPr>
        <w:t>Council</w:t>
      </w:r>
      <w:r w:rsidR="00F906A0">
        <w:rPr>
          <w:sz w:val="28"/>
          <w:szCs w:val="28"/>
        </w:rPr>
        <w:t>'</w:t>
      </w:r>
      <w:r w:rsidR="000D798F">
        <w:rPr>
          <w:sz w:val="28"/>
          <w:szCs w:val="28"/>
        </w:rPr>
        <w:t>s</w:t>
      </w:r>
      <w:r w:rsidR="00CC6D68" w:rsidRPr="00171E39">
        <w:rPr>
          <w:sz w:val="28"/>
          <w:szCs w:val="28"/>
        </w:rPr>
        <w:t xml:space="preserve"> basis of </w:t>
      </w:r>
      <w:r w:rsidR="0087000B">
        <w:rPr>
          <w:sz w:val="28"/>
          <w:szCs w:val="28"/>
        </w:rPr>
        <w:t>r</w:t>
      </w:r>
      <w:r w:rsidR="00CC6D68" w:rsidRPr="00171E39">
        <w:rPr>
          <w:sz w:val="28"/>
          <w:szCs w:val="28"/>
        </w:rPr>
        <w:t>ating.</w:t>
      </w:r>
    </w:p>
    <w:p w14:paraId="1720ACC7" w14:textId="3E7FB1BB" w:rsidR="003C66AF" w:rsidRDefault="00850CF2" w:rsidP="0002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FC00E9">
        <w:rPr>
          <w:b/>
          <w:sz w:val="24"/>
          <w:szCs w:val="24"/>
        </w:rPr>
        <w:t xml:space="preserve"> 2023</w:t>
      </w:r>
    </w:p>
    <w:sdt>
      <w:sdtPr>
        <w:rPr>
          <w:b w:val="0"/>
          <w:color w:val="000000"/>
          <w:sz w:val="22"/>
          <w:szCs w:val="22"/>
          <w:lang w:val="en-AU"/>
          <w14:textFill>
            <w14:solidFill>
              <w14:srgbClr w14:val="000000">
                <w14:lumMod w14:val="75000"/>
              </w14:srgbClr>
            </w14:solidFill>
          </w14:textFill>
        </w:rPr>
        <w:id w:val="-189819559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B911AF1" w14:textId="77777777" w:rsidR="007A1DBD" w:rsidRPr="007A1DBD" w:rsidRDefault="007A1DBD" w:rsidP="00DA2A8F">
          <w:pPr>
            <w:pStyle w:val="TOCHeading"/>
          </w:pPr>
          <w:r w:rsidRPr="00DA2A8F">
            <w:t>Contents</w:t>
          </w:r>
        </w:p>
        <w:p w14:paraId="6CBDBECD" w14:textId="76DEC2EA" w:rsidR="00F906A0" w:rsidRDefault="0027533C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"1-2" \h \z \u </w:instrText>
          </w:r>
          <w:r>
            <w:rPr>
              <w:b w:val="0"/>
            </w:rPr>
            <w:fldChar w:fldCharType="separate"/>
          </w:r>
          <w:hyperlink w:anchor="_Toc148094992" w:history="1">
            <w:r w:rsidR="00F906A0" w:rsidRPr="000503BD">
              <w:rPr>
                <w:rStyle w:val="Hyperlink"/>
              </w:rPr>
              <w:t>1.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Introduction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_Toc148094992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3</w:t>
            </w:r>
            <w:r w:rsidR="00F906A0">
              <w:rPr>
                <w:webHidden/>
              </w:rPr>
              <w:fldChar w:fldCharType="end"/>
            </w:r>
          </w:hyperlink>
        </w:p>
        <w:p w14:paraId="464DB9F4" w14:textId="5D5EC1D6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4993" w:history="1">
            <w:r w:rsidR="00F906A0" w:rsidRPr="000503BD">
              <w:rPr>
                <w:rStyle w:val="Hyperlink"/>
              </w:rPr>
              <w:t>2.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Reason for Proposed Changes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_Toc148094993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3</w:t>
            </w:r>
            <w:r w:rsidR="00F906A0">
              <w:rPr>
                <w:webHidden/>
              </w:rPr>
              <w:fldChar w:fldCharType="end"/>
            </w:r>
          </w:hyperlink>
        </w:p>
        <w:p w14:paraId="2EE3ACAB" w14:textId="687B2AD3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4994" w:history="1">
            <w:r w:rsidR="00F906A0" w:rsidRPr="000503BD">
              <w:rPr>
                <w:rStyle w:val="Hyperlink"/>
              </w:rPr>
              <w:t>3.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Proposed Changes to Rates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_Toc148094994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3</w:t>
            </w:r>
            <w:r w:rsidR="00F906A0">
              <w:rPr>
                <w:webHidden/>
              </w:rPr>
              <w:fldChar w:fldCharType="end"/>
            </w:r>
          </w:hyperlink>
        </w:p>
        <w:p w14:paraId="6F63EC97" w14:textId="63C7032C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4995" w:history="1">
            <w:r w:rsidR="00F906A0" w:rsidRPr="000503BD">
              <w:rPr>
                <w:rStyle w:val="Hyperlink"/>
              </w:rPr>
              <w:t>4.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Support for Ratepayers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_Toc148094995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4</w:t>
            </w:r>
            <w:r w:rsidR="00F906A0">
              <w:rPr>
                <w:webHidden/>
              </w:rPr>
              <w:fldChar w:fldCharType="end"/>
            </w:r>
          </w:hyperlink>
        </w:p>
        <w:p w14:paraId="67786034" w14:textId="587A55CB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4996" w:history="1">
            <w:r w:rsidR="00F906A0" w:rsidRPr="000503BD">
              <w:rPr>
                <w:rStyle w:val="Hyperlink"/>
              </w:rPr>
              <w:t>5.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Consultation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_Toc148094996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4</w:t>
            </w:r>
            <w:r w:rsidR="00F906A0">
              <w:rPr>
                <w:webHidden/>
              </w:rPr>
              <w:fldChar w:fldCharType="end"/>
            </w:r>
          </w:hyperlink>
        </w:p>
        <w:p w14:paraId="100F94C4" w14:textId="1BAA65DD" w:rsidR="00F906A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4997" w:history="1">
            <w:r w:rsidR="00F906A0" w:rsidRPr="000503BD">
              <w:rPr>
                <w:rStyle w:val="Hyperlink"/>
                <w:noProof/>
              </w:rPr>
              <w:t>5.1.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Information Session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_Toc148094997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4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40CAEFEE" w14:textId="28E45C5E" w:rsidR="00F906A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4998" w:history="1">
            <w:r w:rsidR="00F906A0" w:rsidRPr="000503BD">
              <w:rPr>
                <w:rStyle w:val="Hyperlink"/>
                <w:noProof/>
              </w:rPr>
              <w:t>5.2.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Submissions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_Toc148094998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5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4463574D" w14:textId="4635BE0E" w:rsidR="00F906A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4999" w:history="1">
            <w:r w:rsidR="00F906A0" w:rsidRPr="000503BD">
              <w:rPr>
                <w:rStyle w:val="Hyperlink"/>
                <w:noProof/>
              </w:rPr>
              <w:t>5.3.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Public Meeting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_Toc148094999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5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3218F6A5" w14:textId="3586FED7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00" w:history="1">
            <w:r w:rsidR="00F906A0" w:rsidRPr="000503BD">
              <w:rPr>
                <w:rStyle w:val="Hyperlink"/>
              </w:rPr>
              <w:t>6.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The Purpose of this Consultation Paper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_Toc148095000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5</w:t>
            </w:r>
            <w:r w:rsidR="00F906A0">
              <w:rPr>
                <w:webHidden/>
              </w:rPr>
              <w:fldChar w:fldCharType="end"/>
            </w:r>
          </w:hyperlink>
        </w:p>
        <w:p w14:paraId="02BAF156" w14:textId="5E90E576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01" w:history="1">
            <w:r w:rsidR="00F906A0" w:rsidRPr="000503BD">
              <w:rPr>
                <w:rStyle w:val="Hyperlink"/>
              </w:rPr>
              <w:t>7.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Why Councils Collect Rates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_Toc148095001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6</w:t>
            </w:r>
            <w:r w:rsidR="00F906A0">
              <w:rPr>
                <w:webHidden/>
              </w:rPr>
              <w:fldChar w:fldCharType="end"/>
            </w:r>
          </w:hyperlink>
        </w:p>
        <w:p w14:paraId="58C9181A" w14:textId="1593F4C4" w:rsidR="00F906A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02" w:history="1">
            <w:r w:rsidR="00F906A0" w:rsidRPr="000503BD">
              <w:rPr>
                <w:rStyle w:val="Hyperlink"/>
                <w:noProof/>
              </w:rPr>
              <w:t>7.1.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Nature of Council Rates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_Toc148095002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6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35AE8F90" w14:textId="74AE51BC" w:rsidR="00F906A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03" w:history="1">
            <w:r w:rsidR="00F906A0" w:rsidRPr="000503BD">
              <w:rPr>
                <w:rStyle w:val="Hyperlink"/>
                <w:noProof/>
              </w:rPr>
              <w:t>7.2.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Principles of Taxation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_Toc148095003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6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04C66A4C" w14:textId="543ECA20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04" w:history="1">
            <w:r w:rsidR="00F906A0" w:rsidRPr="000503BD">
              <w:rPr>
                <w:rStyle w:val="Hyperlink"/>
              </w:rPr>
              <w:t>8.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Legislative Framework for Setting Council Rates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_Toc148095004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7</w:t>
            </w:r>
            <w:r w:rsidR="00F906A0">
              <w:rPr>
                <w:webHidden/>
              </w:rPr>
              <w:fldChar w:fldCharType="end"/>
            </w:r>
          </w:hyperlink>
        </w:p>
        <w:p w14:paraId="4AE89710" w14:textId="450F966E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05" w:history="1">
            <w:r w:rsidR="00F906A0" w:rsidRPr="000503BD">
              <w:rPr>
                <w:rStyle w:val="Hyperlink"/>
              </w:rPr>
              <w:t>9.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Rating Options Available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_Toc148095005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7</w:t>
            </w:r>
            <w:r w:rsidR="00F906A0">
              <w:rPr>
                <w:webHidden/>
              </w:rPr>
              <w:fldChar w:fldCharType="end"/>
            </w:r>
          </w:hyperlink>
        </w:p>
        <w:p w14:paraId="57F81628" w14:textId="72F961D3" w:rsidR="00F906A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06" w:history="1">
            <w:r w:rsidR="00F906A0" w:rsidRPr="000503BD">
              <w:rPr>
                <w:rStyle w:val="Hyperlink"/>
                <w:noProof/>
              </w:rPr>
              <w:t>9.1.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How Rates are Calculated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_Toc148095006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7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6376D219" w14:textId="5A5E3386" w:rsidR="00F906A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07" w:history="1">
            <w:r w:rsidR="00F906A0" w:rsidRPr="000503BD">
              <w:rPr>
                <w:rStyle w:val="Hyperlink"/>
                <w:noProof/>
              </w:rPr>
              <w:t>9.2.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A General Rate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_Toc148095007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8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6066F38E" w14:textId="6872452E" w:rsidR="00F906A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08" w:history="1">
            <w:r w:rsidR="00F906A0" w:rsidRPr="000503BD">
              <w:rPr>
                <w:rStyle w:val="Hyperlink"/>
                <w:noProof/>
              </w:rPr>
              <w:t>9.3.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A Differential Rate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_Toc148095008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8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689A6CB2" w14:textId="3E4FAAAA" w:rsidR="00F906A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09" w:history="1">
            <w:r w:rsidR="00F906A0" w:rsidRPr="000503BD">
              <w:rPr>
                <w:rStyle w:val="Hyperlink"/>
                <w:noProof/>
              </w:rPr>
              <w:t>9.4.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Fixed Charge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_Toc148095009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9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0748C7E7" w14:textId="3A3A053A" w:rsidR="00F906A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10" w:history="1">
            <w:r w:rsidR="00F906A0" w:rsidRPr="000503BD">
              <w:rPr>
                <w:rStyle w:val="Hyperlink"/>
                <w:noProof/>
              </w:rPr>
              <w:t>9.5.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Minimum Rate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_Toc148095010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10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0E29973A" w14:textId="6906561F" w:rsidR="00F906A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11" w:history="1">
            <w:r w:rsidR="00F906A0" w:rsidRPr="000503BD">
              <w:rPr>
                <w:rStyle w:val="Hyperlink"/>
                <w:noProof/>
              </w:rPr>
              <w:t>9.6.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Separate Rates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_Toc148095011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10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6C9B4949" w14:textId="59DF5C09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12" w:history="1">
            <w:r w:rsidR="00F906A0" w:rsidRPr="000503BD">
              <w:rPr>
                <w:rStyle w:val="Hyperlink"/>
              </w:rPr>
              <w:t>10.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Service Rates &amp; Charges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_Toc148095012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10</w:t>
            </w:r>
            <w:r w:rsidR="00F906A0">
              <w:rPr>
                <w:webHidden/>
              </w:rPr>
              <w:fldChar w:fldCharType="end"/>
            </w:r>
          </w:hyperlink>
        </w:p>
        <w:p w14:paraId="1C575EB9" w14:textId="2630A5AF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13" w:history="1">
            <w:r w:rsidR="00F906A0" w:rsidRPr="000503BD">
              <w:rPr>
                <w:rStyle w:val="Hyperlink"/>
              </w:rPr>
              <w:t>11.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Non-Rateable Properties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_Toc148095013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10</w:t>
            </w:r>
            <w:r w:rsidR="00F906A0">
              <w:rPr>
                <w:webHidden/>
              </w:rPr>
              <w:fldChar w:fldCharType="end"/>
            </w:r>
          </w:hyperlink>
        </w:p>
        <w:p w14:paraId="5ED99395" w14:textId="408308F9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14" w:history="1">
            <w:r w:rsidR="00F906A0" w:rsidRPr="000503BD">
              <w:rPr>
                <w:rStyle w:val="Hyperlink"/>
              </w:rPr>
              <w:t>12.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Rate Rebates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_Toc148095014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11</w:t>
            </w:r>
            <w:r w:rsidR="00F906A0">
              <w:rPr>
                <w:webHidden/>
              </w:rPr>
              <w:fldChar w:fldCharType="end"/>
            </w:r>
          </w:hyperlink>
        </w:p>
        <w:p w14:paraId="5BFF93B1" w14:textId="493A2C16" w:rsidR="00F906A0" w:rsidRDefault="00000000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15" w:history="1">
            <w:r w:rsidR="00F906A0" w:rsidRPr="000503BD">
              <w:rPr>
                <w:rStyle w:val="Hyperlink"/>
                <w:noProof/>
              </w:rPr>
              <w:t>12.1.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Postponement of Rates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_Toc148095015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11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76D1E1F6" w14:textId="1888D2E2" w:rsidR="00F906A0" w:rsidRDefault="00000000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16" w:history="1">
            <w:r w:rsidR="00F906A0" w:rsidRPr="000503BD">
              <w:rPr>
                <w:rStyle w:val="Hyperlink"/>
                <w:rFonts w:eastAsiaTheme="majorEastAsia"/>
                <w:noProof/>
              </w:rPr>
              <w:t>12.2.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rFonts w:eastAsiaTheme="majorEastAsia"/>
                <w:noProof/>
              </w:rPr>
              <w:t>Unusual Events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_Toc148095016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12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6CD69373" w14:textId="5C9125D4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17" w:history="1">
            <w:r w:rsidR="00F906A0" w:rsidRPr="000503BD">
              <w:rPr>
                <w:rStyle w:val="Hyperlink"/>
              </w:rPr>
              <w:t>13.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District Council of Tumby Bay's Current Rating System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_Toc148095017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12</w:t>
            </w:r>
            <w:r w:rsidR="00F906A0">
              <w:rPr>
                <w:webHidden/>
              </w:rPr>
              <w:fldChar w:fldCharType="end"/>
            </w:r>
          </w:hyperlink>
        </w:p>
        <w:p w14:paraId="7EE390FE" w14:textId="0C99852A" w:rsidR="00F906A0" w:rsidRDefault="00000000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18" w:history="1">
            <w:r w:rsidR="00F906A0" w:rsidRPr="000503BD">
              <w:rPr>
                <w:rStyle w:val="Hyperlink"/>
                <w:noProof/>
              </w:rPr>
              <w:t>13.1.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Land Valuation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_Toc148095018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12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7B3E67F7" w14:textId="3863FDA5" w:rsidR="00F906A0" w:rsidRDefault="00000000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19" w:history="1">
            <w:r w:rsidR="00F906A0" w:rsidRPr="000503BD">
              <w:rPr>
                <w:rStyle w:val="Hyperlink"/>
                <w:noProof/>
              </w:rPr>
              <w:t>13.2.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Differential Rates Based on Locality and Land Use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_Toc148095019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12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24276D23" w14:textId="6424F666" w:rsidR="00F906A0" w:rsidRDefault="00000000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20" w:history="1">
            <w:r w:rsidR="00F906A0" w:rsidRPr="000503BD">
              <w:rPr>
                <w:rStyle w:val="Hyperlink"/>
                <w:noProof/>
              </w:rPr>
              <w:t>13.3.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Fixed Charge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_Toc148095020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12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17929BAD" w14:textId="19B9F8F7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21" w:history="1">
            <w:r w:rsidR="00F906A0" w:rsidRPr="000503BD">
              <w:rPr>
                <w:rStyle w:val="Hyperlink"/>
              </w:rPr>
              <w:t>14.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District Council of Tumby Bay Profile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_Toc148095021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13</w:t>
            </w:r>
            <w:r w:rsidR="00F906A0">
              <w:rPr>
                <w:webHidden/>
              </w:rPr>
              <w:fldChar w:fldCharType="end"/>
            </w:r>
          </w:hyperlink>
        </w:p>
        <w:p w14:paraId="6E6B0C05" w14:textId="657DE982" w:rsidR="00F906A0" w:rsidRDefault="00000000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22" w:history="1">
            <w:r w:rsidR="00F906A0" w:rsidRPr="000503BD">
              <w:rPr>
                <w:rStyle w:val="Hyperlink"/>
                <w:rFonts w:eastAsiaTheme="majorEastAsia"/>
                <w:noProof/>
              </w:rPr>
              <w:t>14.1.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rFonts w:eastAsiaTheme="majorEastAsia"/>
                <w:noProof/>
              </w:rPr>
              <w:t>Australian Bureau of Statistics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_Toc148095022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13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1BB9034C" w14:textId="422FC31A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23" w:history="1">
            <w:r w:rsidR="00F906A0" w:rsidRPr="000503BD">
              <w:rPr>
                <w:rStyle w:val="Hyperlink"/>
              </w:rPr>
              <w:t>15.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Issues and Impact of Current Rating System on the Community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_Toc148095023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15</w:t>
            </w:r>
            <w:r w:rsidR="00F906A0">
              <w:rPr>
                <w:webHidden/>
              </w:rPr>
              <w:fldChar w:fldCharType="end"/>
            </w:r>
          </w:hyperlink>
        </w:p>
        <w:p w14:paraId="23C0283E" w14:textId="22F5CC17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24" w:history="1">
            <w:r w:rsidR="00F906A0" w:rsidRPr="000503BD">
              <w:rPr>
                <w:rStyle w:val="Hyperlink"/>
              </w:rPr>
              <w:t>16.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Rating Structure – Potential Changes and the Impact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_Toc148095024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16</w:t>
            </w:r>
            <w:r w:rsidR="00F906A0">
              <w:rPr>
                <w:webHidden/>
              </w:rPr>
              <w:fldChar w:fldCharType="end"/>
            </w:r>
          </w:hyperlink>
        </w:p>
        <w:p w14:paraId="1DD49DC1" w14:textId="7923605E" w:rsidR="00F906A0" w:rsidRDefault="00000000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25" w:history="1">
            <w:r w:rsidR="00F906A0" w:rsidRPr="000503BD">
              <w:rPr>
                <w:rStyle w:val="Hyperlink"/>
                <w:noProof/>
              </w:rPr>
              <w:t>16.1.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noProof/>
              </w:rPr>
              <w:t>Land Use System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_Toc148095025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16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00B4B6AE" w14:textId="544EA745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26" w:history="1">
            <w:r w:rsidR="00F906A0" w:rsidRPr="000503BD">
              <w:rPr>
                <w:rStyle w:val="Hyperlink"/>
              </w:rPr>
              <w:t>17.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Likely Impact on Ratepayers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_Toc148095026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16</w:t>
            </w:r>
            <w:r w:rsidR="00F906A0">
              <w:rPr>
                <w:webHidden/>
              </w:rPr>
              <w:fldChar w:fldCharType="end"/>
            </w:r>
          </w:hyperlink>
        </w:p>
        <w:p w14:paraId="2FD0E237" w14:textId="3F0D4D5C" w:rsidR="00F906A0" w:rsidRDefault="00000000">
          <w:pPr>
            <w:pStyle w:val="TOC1"/>
            <w:rPr>
              <w:rFonts w:eastAsiaTheme="minorEastAsia"/>
              <w:b w:val="0"/>
              <w:kern w:val="2"/>
              <w:lang w:eastAsia="en-AU"/>
              <w14:ligatures w14:val="standardContextual"/>
            </w:rPr>
          </w:pPr>
          <w:hyperlink w:anchor="_Toc148095027" w:history="1">
            <w:r w:rsidR="00F906A0" w:rsidRPr="000503BD">
              <w:rPr>
                <w:rStyle w:val="Hyperlink"/>
              </w:rPr>
              <w:t>18.</w:t>
            </w:r>
            <w:r w:rsidR="00F906A0">
              <w:rPr>
                <w:rFonts w:eastAsiaTheme="minorEastAsia"/>
                <w:b w:val="0"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</w:rPr>
              <w:t>Consultation Requirements</w:t>
            </w:r>
            <w:r w:rsidR="00F906A0">
              <w:rPr>
                <w:webHidden/>
              </w:rPr>
              <w:tab/>
            </w:r>
            <w:r w:rsidR="00F906A0">
              <w:rPr>
                <w:webHidden/>
              </w:rPr>
              <w:fldChar w:fldCharType="begin"/>
            </w:r>
            <w:r w:rsidR="00F906A0">
              <w:rPr>
                <w:webHidden/>
              </w:rPr>
              <w:instrText xml:space="preserve"> PAGEREF _Toc148095027 \h </w:instrText>
            </w:r>
            <w:r w:rsidR="00F906A0">
              <w:rPr>
                <w:webHidden/>
              </w:rPr>
            </w:r>
            <w:r w:rsidR="00F906A0">
              <w:rPr>
                <w:webHidden/>
              </w:rPr>
              <w:fldChar w:fldCharType="separate"/>
            </w:r>
            <w:r w:rsidR="00D435E9">
              <w:rPr>
                <w:webHidden/>
              </w:rPr>
              <w:t>18</w:t>
            </w:r>
            <w:r w:rsidR="00F906A0">
              <w:rPr>
                <w:webHidden/>
              </w:rPr>
              <w:fldChar w:fldCharType="end"/>
            </w:r>
          </w:hyperlink>
        </w:p>
        <w:p w14:paraId="7B8329E0" w14:textId="2E1569F4" w:rsidR="00F906A0" w:rsidRDefault="00000000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8095028" w:history="1">
            <w:r w:rsidR="00F906A0" w:rsidRPr="000503BD">
              <w:rPr>
                <w:rStyle w:val="Hyperlink"/>
                <w:rFonts w:eastAsiaTheme="majorEastAsia"/>
                <w:noProof/>
              </w:rPr>
              <w:t>18.1.</w:t>
            </w:r>
            <w:r w:rsidR="00F906A0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F906A0" w:rsidRPr="000503BD">
              <w:rPr>
                <w:rStyle w:val="Hyperlink"/>
                <w:rFonts w:eastAsiaTheme="majorEastAsia"/>
                <w:noProof/>
              </w:rPr>
              <w:t>Legislative Requirements for Consultation</w:t>
            </w:r>
            <w:r w:rsidR="00F906A0">
              <w:rPr>
                <w:noProof/>
                <w:webHidden/>
              </w:rPr>
              <w:tab/>
            </w:r>
            <w:r w:rsidR="00F906A0">
              <w:rPr>
                <w:noProof/>
                <w:webHidden/>
              </w:rPr>
              <w:fldChar w:fldCharType="begin"/>
            </w:r>
            <w:r w:rsidR="00F906A0">
              <w:rPr>
                <w:noProof/>
                <w:webHidden/>
              </w:rPr>
              <w:instrText xml:space="preserve"> PAGEREF _Toc148095028 \h </w:instrText>
            </w:r>
            <w:r w:rsidR="00F906A0">
              <w:rPr>
                <w:noProof/>
                <w:webHidden/>
              </w:rPr>
            </w:r>
            <w:r w:rsidR="00F906A0">
              <w:rPr>
                <w:noProof/>
                <w:webHidden/>
              </w:rPr>
              <w:fldChar w:fldCharType="separate"/>
            </w:r>
            <w:r w:rsidR="00D435E9">
              <w:rPr>
                <w:noProof/>
                <w:webHidden/>
              </w:rPr>
              <w:t>18</w:t>
            </w:r>
            <w:r w:rsidR="00F906A0">
              <w:rPr>
                <w:noProof/>
                <w:webHidden/>
              </w:rPr>
              <w:fldChar w:fldCharType="end"/>
            </w:r>
          </w:hyperlink>
        </w:p>
        <w:p w14:paraId="1AF280F5" w14:textId="71EA702B" w:rsidR="007A1DBD" w:rsidRPr="00D05333" w:rsidRDefault="0027533C" w:rsidP="00D05333">
          <w:pPr>
            <w:spacing w:after="60" w:line="240" w:lineRule="auto"/>
          </w:pPr>
          <w:r>
            <w:rPr>
              <w:b/>
              <w:noProof/>
            </w:rPr>
            <w:fldChar w:fldCharType="end"/>
          </w:r>
        </w:p>
      </w:sdtContent>
    </w:sdt>
    <w:p w14:paraId="644A02FB" w14:textId="77777777" w:rsidR="007A1DBD" w:rsidRPr="00D05333" w:rsidRDefault="007A1DBD" w:rsidP="00084C2B">
      <w:pPr>
        <w:pStyle w:val="Heading1"/>
        <w:numPr>
          <w:ilvl w:val="0"/>
          <w:numId w:val="1"/>
        </w:numPr>
      </w:pPr>
      <w:r w:rsidRPr="00D05333">
        <w:br w:type="page"/>
      </w:r>
    </w:p>
    <w:p w14:paraId="06613812" w14:textId="5501AA69" w:rsidR="00CC6D68" w:rsidRPr="00084C2B" w:rsidRDefault="00CC6D68" w:rsidP="00084C2B">
      <w:pPr>
        <w:pStyle w:val="Heading1"/>
      </w:pPr>
      <w:bookmarkStart w:id="1" w:name="_Toc148094992"/>
      <w:r w:rsidRPr="00084C2B">
        <w:lastRenderedPageBreak/>
        <w:t>Introduction</w:t>
      </w:r>
      <w:bookmarkEnd w:id="1"/>
    </w:p>
    <w:p w14:paraId="5AB0B8B2" w14:textId="4BDAAD24" w:rsidR="00E409ED" w:rsidRDefault="00E409ED" w:rsidP="00020050">
      <w:r>
        <w:t xml:space="preserve">Councils are responsible for </w:t>
      </w:r>
      <w:r w:rsidR="0087000B">
        <w:t>delivering</w:t>
      </w:r>
      <w:r>
        <w:t xml:space="preserve"> a broad range of services to their communities.</w:t>
      </w:r>
      <w:r w:rsidR="00F906A0">
        <w:t xml:space="preserve"> </w:t>
      </w:r>
      <w:r>
        <w:t xml:space="preserve"> Each community is unique and has different priorities.</w:t>
      </w:r>
      <w:r w:rsidR="00F906A0">
        <w:t xml:space="preserve"> </w:t>
      </w:r>
      <w:r>
        <w:t xml:space="preserve"> Councils receive income from </w:t>
      </w:r>
      <w:r w:rsidR="00445073">
        <w:t>several</w:t>
      </w:r>
      <w:r>
        <w:t xml:space="preserve"> sources to pay for the</w:t>
      </w:r>
      <w:r w:rsidR="0087000B">
        <w:t>ir services,</w:t>
      </w:r>
      <w:r w:rsidR="00A66FCC">
        <w:t xml:space="preserve"> with the largest revenue source being rates</w:t>
      </w:r>
      <w:r>
        <w:t xml:space="preserve">.  </w:t>
      </w:r>
    </w:p>
    <w:p w14:paraId="49341C28" w14:textId="1F311DD7" w:rsidR="00FC00E9" w:rsidRDefault="00E409ED" w:rsidP="00020050">
      <w:r w:rsidRPr="00954A15">
        <w:t xml:space="preserve">The </w:t>
      </w:r>
      <w:r w:rsidR="00FC00E9" w:rsidRPr="00954A15">
        <w:t xml:space="preserve">District Council of </w:t>
      </w:r>
      <w:r w:rsidR="00850CF2">
        <w:t>Tumby Bay</w:t>
      </w:r>
      <w:r w:rsidRPr="00954A15">
        <w:t xml:space="preserve"> (</w:t>
      </w:r>
      <w:r w:rsidRPr="00CF61D7">
        <w:rPr>
          <w:b/>
          <w:bCs/>
        </w:rPr>
        <w:t>Council</w:t>
      </w:r>
      <w:r w:rsidRPr="00954A15">
        <w:t xml:space="preserve">) is </w:t>
      </w:r>
      <w:r w:rsidR="00FC00E9" w:rsidRPr="00954A15">
        <w:t xml:space="preserve">required by legislation to change from </w:t>
      </w:r>
      <w:r w:rsidR="0087000B" w:rsidRPr="00954A15">
        <w:t>r</w:t>
      </w:r>
      <w:r w:rsidR="00FC00E9" w:rsidRPr="00954A15">
        <w:t>ating against</w:t>
      </w:r>
      <w:r w:rsidR="00FC00E9">
        <w:t xml:space="preserve"> the site value of properties to </w:t>
      </w:r>
      <w:r w:rsidR="0087000B">
        <w:t>r</w:t>
      </w:r>
      <w:r w:rsidR="00FC00E9">
        <w:t>ating against the capital value of properties.</w:t>
      </w:r>
      <w:r w:rsidR="00F906A0">
        <w:t xml:space="preserve"> </w:t>
      </w:r>
      <w:r w:rsidR="00FC00E9">
        <w:t xml:space="preserve"> As part of this process, Council is required to undertake a rating review and consider the best way for Council to distribute the rate burden against the properties within its community.</w:t>
      </w:r>
    </w:p>
    <w:p w14:paraId="12F750C5" w14:textId="74DD0FA5" w:rsidR="00E409ED" w:rsidRPr="00287B1F" w:rsidRDefault="00E409ED" w:rsidP="00020050">
      <w:pPr>
        <w:spacing w:after="0"/>
      </w:pPr>
      <w:bookmarkStart w:id="2" w:name="_Toc369438929"/>
      <w:bookmarkStart w:id="3" w:name="_Toc369439049"/>
      <w:r w:rsidRPr="00287B1F">
        <w:t>S</w:t>
      </w:r>
      <w:r w:rsidR="00330987">
        <w:t xml:space="preserve">ection </w:t>
      </w:r>
      <w:r w:rsidRPr="00287B1F">
        <w:t>151</w:t>
      </w:r>
      <w:r>
        <w:t xml:space="preserve"> </w:t>
      </w:r>
      <w:r w:rsidRPr="00287B1F">
        <w:t xml:space="preserve">of the </w:t>
      </w:r>
      <w:r w:rsidRPr="0087000B">
        <w:rPr>
          <w:i/>
          <w:iCs/>
        </w:rPr>
        <w:t>Local Government Act 1999</w:t>
      </w:r>
      <w:r w:rsidRPr="00287B1F">
        <w:t xml:space="preserve"> </w:t>
      </w:r>
      <w:r w:rsidR="00AF3409">
        <w:t>(</w:t>
      </w:r>
      <w:r w:rsidR="00AF3409" w:rsidRPr="00CF61D7">
        <w:rPr>
          <w:b/>
          <w:bCs/>
        </w:rPr>
        <w:t>Act</w:t>
      </w:r>
      <w:r w:rsidR="00AF3409">
        <w:t>)</w:t>
      </w:r>
      <w:r w:rsidRPr="00287B1F">
        <w:t xml:space="preserve">states that </w:t>
      </w:r>
      <w:r>
        <w:t>Council must produce a public</w:t>
      </w:r>
      <w:r w:rsidRPr="00287B1F">
        <w:t xml:space="preserve"> report </w:t>
      </w:r>
      <w:r>
        <w:t xml:space="preserve">that </w:t>
      </w:r>
      <w:r w:rsidRPr="00287B1F">
        <w:t>must address the following</w:t>
      </w:r>
      <w:r>
        <w:t xml:space="preserve"> when changing their basis of </w:t>
      </w:r>
      <w:r w:rsidR="0087000B">
        <w:t>r</w:t>
      </w:r>
      <w:r>
        <w:t>ating</w:t>
      </w:r>
      <w:r w:rsidRPr="00287B1F">
        <w:t>:</w:t>
      </w:r>
      <w:bookmarkEnd w:id="2"/>
      <w:bookmarkEnd w:id="3"/>
    </w:p>
    <w:p w14:paraId="34E2405A" w14:textId="77777777" w:rsidR="00E409ED" w:rsidRPr="00287B1F" w:rsidRDefault="00E409ED" w:rsidP="00020050">
      <w:pPr>
        <w:pStyle w:val="ListParagraph"/>
        <w:numPr>
          <w:ilvl w:val="0"/>
          <w:numId w:val="2"/>
        </w:numPr>
        <w:spacing w:before="240" w:line="276" w:lineRule="auto"/>
      </w:pPr>
      <w:bookmarkStart w:id="4" w:name="_Toc369438930"/>
      <w:bookmarkStart w:id="5" w:name="_Toc369439050"/>
      <w:r w:rsidRPr="00287B1F">
        <w:t>The reasons for the proposed change</w:t>
      </w:r>
      <w:bookmarkEnd w:id="4"/>
      <w:bookmarkEnd w:id="5"/>
    </w:p>
    <w:p w14:paraId="66CB8BAB" w14:textId="23C2ECA2" w:rsidR="00E409ED" w:rsidRPr="00287B1F" w:rsidRDefault="00E409ED" w:rsidP="00020050">
      <w:pPr>
        <w:pStyle w:val="ListParagraph"/>
        <w:numPr>
          <w:ilvl w:val="0"/>
          <w:numId w:val="2"/>
        </w:numPr>
        <w:spacing w:after="0" w:line="276" w:lineRule="auto"/>
      </w:pPr>
      <w:bookmarkStart w:id="6" w:name="_Toc369438931"/>
      <w:bookmarkStart w:id="7" w:name="_Toc369439051"/>
      <w:r w:rsidRPr="00287B1F">
        <w:t>The relationship of the proposed change to the Council</w:t>
      </w:r>
      <w:r w:rsidR="00F906A0">
        <w:t>'</w:t>
      </w:r>
      <w:r w:rsidRPr="00287B1F">
        <w:t>s overall rates structure and policies</w:t>
      </w:r>
      <w:bookmarkEnd w:id="6"/>
      <w:bookmarkEnd w:id="7"/>
    </w:p>
    <w:p w14:paraId="29BA0A32" w14:textId="77777777" w:rsidR="00E409ED" w:rsidRPr="00287B1F" w:rsidRDefault="00F8693E" w:rsidP="00020050">
      <w:pPr>
        <w:pStyle w:val="ListParagraph"/>
        <w:numPr>
          <w:ilvl w:val="0"/>
          <w:numId w:val="2"/>
        </w:numPr>
        <w:spacing w:after="0" w:line="276" w:lineRule="auto"/>
      </w:pPr>
      <w:bookmarkStart w:id="8" w:name="_Toc369438932"/>
      <w:bookmarkStart w:id="9" w:name="_Toc369439052"/>
      <w:r>
        <w:t>A</w:t>
      </w:r>
      <w:r w:rsidR="00E409ED" w:rsidRPr="00287B1F">
        <w:t>s far as practicable, the likely impact of the proposed change on ratepayers</w:t>
      </w:r>
      <w:bookmarkEnd w:id="8"/>
      <w:bookmarkEnd w:id="9"/>
    </w:p>
    <w:p w14:paraId="6125E94B" w14:textId="6319A900" w:rsidR="00E409ED" w:rsidRPr="00287B1F" w:rsidRDefault="00F8693E" w:rsidP="00020050">
      <w:pPr>
        <w:pStyle w:val="ListParagraph"/>
        <w:numPr>
          <w:ilvl w:val="0"/>
          <w:numId w:val="2"/>
        </w:numPr>
        <w:spacing w:after="0" w:line="276" w:lineRule="auto"/>
      </w:pPr>
      <w:bookmarkStart w:id="10" w:name="_Toc369438933"/>
      <w:bookmarkStart w:id="11" w:name="_Toc369439053"/>
      <w:r>
        <w:t>I</w:t>
      </w:r>
      <w:r w:rsidR="00E409ED" w:rsidRPr="00287B1F">
        <w:t xml:space="preserve">ssues concerning equity within the </w:t>
      </w:r>
      <w:bookmarkEnd w:id="10"/>
      <w:bookmarkEnd w:id="11"/>
      <w:r w:rsidR="00DD56DD" w:rsidRPr="00287B1F">
        <w:t>community.</w:t>
      </w:r>
    </w:p>
    <w:p w14:paraId="0673C6E1" w14:textId="77777777" w:rsidR="00E409ED" w:rsidRDefault="00E409ED" w:rsidP="00020050">
      <w:pPr>
        <w:pStyle w:val="ListParagraph"/>
        <w:numPr>
          <w:ilvl w:val="0"/>
          <w:numId w:val="2"/>
        </w:numPr>
        <w:spacing w:after="0" w:line="276" w:lineRule="auto"/>
      </w:pPr>
      <w:bookmarkStart w:id="12" w:name="_Toc369438934"/>
      <w:bookmarkStart w:id="13" w:name="_Toc369439054"/>
      <w:r w:rsidRPr="00287B1F">
        <w:t>And any other issues that Council considers relevant.</w:t>
      </w:r>
      <w:bookmarkEnd w:id="12"/>
      <w:bookmarkEnd w:id="13"/>
    </w:p>
    <w:p w14:paraId="35A700DA" w14:textId="2CD4DAC5" w:rsidR="00B12600" w:rsidRDefault="00B12600" w:rsidP="00084C2B">
      <w:pPr>
        <w:pStyle w:val="Heading1"/>
      </w:pPr>
      <w:bookmarkStart w:id="14" w:name="_Toc148094993"/>
      <w:r>
        <w:t>Reason for Proposed Changes</w:t>
      </w:r>
      <w:bookmarkEnd w:id="14"/>
    </w:p>
    <w:p w14:paraId="41E871BD" w14:textId="50E71DE5" w:rsidR="00B12600" w:rsidRDefault="00B12600" w:rsidP="00B12600">
      <w:r>
        <w:t xml:space="preserve">The </w:t>
      </w:r>
      <w:r w:rsidR="00AF3409" w:rsidRPr="00CF61D7">
        <w:t>Act</w:t>
      </w:r>
      <w:r>
        <w:t xml:space="preserve"> has undergone significant reform</w:t>
      </w:r>
      <w:r w:rsidR="0087000B">
        <w:t>,</w:t>
      </w:r>
      <w:r>
        <w:t xml:space="preserve"> introduced over the past </w:t>
      </w:r>
      <w:r w:rsidR="0087000B">
        <w:t>few</w:t>
      </w:r>
      <w:r>
        <w:t xml:space="preserve"> years.</w:t>
      </w:r>
    </w:p>
    <w:p w14:paraId="65E5C992" w14:textId="2F655848" w:rsidR="00B12600" w:rsidRDefault="00B12600" w:rsidP="00B12600">
      <w:r>
        <w:t xml:space="preserve">A significant change has been that Councils in South Australia </w:t>
      </w:r>
      <w:r w:rsidR="0087000B">
        <w:t>can no longer</w:t>
      </w:r>
      <w:r>
        <w:t xml:space="preserve"> use the Site Value of properties as the basis to calculate rates but must use the Capital</w:t>
      </w:r>
      <w:r w:rsidR="00A66FCC">
        <w:t>, the</w:t>
      </w:r>
      <w:r>
        <w:t xml:space="preserve"> Improved Value</w:t>
      </w:r>
      <w:r w:rsidR="00A66FCC">
        <w:t>,</w:t>
      </w:r>
      <w:r>
        <w:t xml:space="preserve"> of those properties.</w:t>
      </w:r>
    </w:p>
    <w:p w14:paraId="4A0BC82E" w14:textId="0680D3F5" w:rsidR="00B12600" w:rsidRDefault="00B12600" w:rsidP="00B12600">
      <w:r w:rsidRPr="00954A15">
        <w:t xml:space="preserve">Councils must change to Capital Value </w:t>
      </w:r>
      <w:r w:rsidR="0087000B" w:rsidRPr="00954A15">
        <w:t>for the 2024/25 Financial Year</w:t>
      </w:r>
      <w:r w:rsidR="00F906A0">
        <w:t>'</w:t>
      </w:r>
      <w:r w:rsidR="0087000B" w:rsidRPr="00954A15">
        <w:t>s Rating at the latest</w:t>
      </w:r>
      <w:r w:rsidRPr="00954A15">
        <w:t>.</w:t>
      </w:r>
      <w:r w:rsidR="00F906A0">
        <w:t xml:space="preserve"> </w:t>
      </w:r>
      <w:r w:rsidRPr="00954A15">
        <w:t xml:space="preserve"> The District Council of </w:t>
      </w:r>
      <w:r w:rsidR="00850CF2">
        <w:t>Tumby Bay</w:t>
      </w:r>
      <w:r w:rsidR="0087000B" w:rsidRPr="00954A15">
        <w:t xml:space="preserve"> and</w:t>
      </w:r>
      <w:r w:rsidRPr="00954A15">
        <w:t xml:space="preserve"> other Councils in the Eyre Peninsula are currently going through the process</w:t>
      </w:r>
      <w:r>
        <w:t xml:space="preserve"> </w:t>
      </w:r>
      <w:r w:rsidR="0087000B">
        <w:t>of making</w:t>
      </w:r>
      <w:r>
        <w:t xml:space="preserve"> this change to their rating systems.</w:t>
      </w:r>
    </w:p>
    <w:p w14:paraId="4F786E88" w14:textId="0A9C1E8D" w:rsidR="00791898" w:rsidRDefault="00CC6D68" w:rsidP="00791898">
      <w:pPr>
        <w:pStyle w:val="Heading1"/>
      </w:pPr>
      <w:bookmarkStart w:id="15" w:name="_Toc148094994"/>
      <w:r w:rsidRPr="0048309F">
        <w:t>Proposed Changes to Rates</w:t>
      </w:r>
      <w:bookmarkEnd w:id="15"/>
    </w:p>
    <w:p w14:paraId="244A68E2" w14:textId="091880C0" w:rsidR="00D31DA4" w:rsidRDefault="00412E7A" w:rsidP="00412E7A">
      <w:pPr>
        <w:spacing w:after="0"/>
      </w:pPr>
      <w:r>
        <w:t xml:space="preserve">The </w:t>
      </w:r>
      <w:r w:rsidR="00053954">
        <w:t>main change is</w:t>
      </w:r>
      <w:r>
        <w:t xml:space="preserve"> to </w:t>
      </w:r>
      <w:r w:rsidR="00791898">
        <w:t>change from Site to Capital Value</w:t>
      </w:r>
      <w:r w:rsidR="00053954">
        <w:t xml:space="preserve"> as the basis for </w:t>
      </w:r>
      <w:r w:rsidR="0087000B">
        <w:t>r</w:t>
      </w:r>
      <w:r w:rsidR="00053954">
        <w:t>ating</w:t>
      </w:r>
      <w:r w:rsidR="00D31DA4">
        <w:t xml:space="preserve"> as required by legislation</w:t>
      </w:r>
      <w:r w:rsidR="00053954">
        <w:t>.</w:t>
      </w:r>
      <w:r w:rsidR="00F906A0">
        <w:t xml:space="preserve"> </w:t>
      </w:r>
      <w:r w:rsidR="00053954">
        <w:t xml:space="preserve"> </w:t>
      </w:r>
      <w:r w:rsidR="00D31DA4">
        <w:t>This change will result in a distribution of the rating costs across ratepayers</w:t>
      </w:r>
      <w:r w:rsidR="0087000B">
        <w:t>, with some ratepayers paying less than previously and oth</w:t>
      </w:r>
      <w:r w:rsidR="00D31DA4">
        <w:t>ers paying more.</w:t>
      </w:r>
    </w:p>
    <w:p w14:paraId="6D032F30" w14:textId="77777777" w:rsidR="00D31DA4" w:rsidRDefault="00D31DA4" w:rsidP="00412E7A">
      <w:pPr>
        <w:spacing w:after="0"/>
      </w:pPr>
    </w:p>
    <w:p w14:paraId="114075DD" w14:textId="6DFCA5DB" w:rsidR="00D31DA4" w:rsidRDefault="00D31DA4" w:rsidP="00412E7A">
      <w:pPr>
        <w:spacing w:after="0"/>
      </w:pPr>
      <w:r>
        <w:t>Council</w:t>
      </w:r>
      <w:r w:rsidR="00F906A0">
        <w:t>'</w:t>
      </w:r>
      <w:r>
        <w:t xml:space="preserve">s current rating system is based on </w:t>
      </w:r>
      <w:r w:rsidR="00954A15">
        <w:t xml:space="preserve">a </w:t>
      </w:r>
      <w:r w:rsidR="00AF3409">
        <w:t xml:space="preserve">combination of </w:t>
      </w:r>
      <w:r w:rsidR="00F906A0">
        <w:t>L</w:t>
      </w:r>
      <w:r>
        <w:t>ocality</w:t>
      </w:r>
      <w:r w:rsidR="00AF3409">
        <w:t xml:space="preserve"> and Land Use</w:t>
      </w:r>
      <w:r w:rsidR="00E55174">
        <w:t>, which has limited capacity to differentiate properties in a way that allows the Council to identify where rating changes impact different ratepayers.</w:t>
      </w:r>
      <w:r w:rsidR="00954A15">
        <w:t xml:space="preserve">  </w:t>
      </w:r>
      <w:r>
        <w:t xml:space="preserve">Council is considering moving to a rating system based on </w:t>
      </w:r>
      <w:r w:rsidR="00F906A0">
        <w:t>Land Use</w:t>
      </w:r>
      <w:r>
        <w:t xml:space="preserve"> </w:t>
      </w:r>
      <w:r w:rsidR="00AF3409">
        <w:t xml:space="preserve">(except for the Silos) </w:t>
      </w:r>
      <w:r>
        <w:t>instead of where properties are.</w:t>
      </w:r>
      <w:r w:rsidR="00954A15">
        <w:t xml:space="preserve">  </w:t>
      </w:r>
    </w:p>
    <w:p w14:paraId="643B3D07" w14:textId="77777777" w:rsidR="00D31DA4" w:rsidRDefault="00D31DA4" w:rsidP="00412E7A">
      <w:pPr>
        <w:spacing w:after="0"/>
      </w:pPr>
    </w:p>
    <w:p w14:paraId="38BFE646" w14:textId="2D1B3605" w:rsidR="00412E7A" w:rsidRPr="00B66064" w:rsidRDefault="00412E7A" w:rsidP="00412E7A">
      <w:pPr>
        <w:spacing w:after="0"/>
      </w:pPr>
      <w:r w:rsidRPr="00B66064">
        <w:t>In summary</w:t>
      </w:r>
      <w:r w:rsidR="0087000B" w:rsidRPr="00B66064">
        <w:t>,</w:t>
      </w:r>
      <w:r w:rsidRPr="00B66064">
        <w:t xml:space="preserve"> the changes proposed in this paper are;</w:t>
      </w:r>
    </w:p>
    <w:p w14:paraId="0A813F89" w14:textId="0573EF2C" w:rsidR="00B72AB8" w:rsidRPr="00B66064" w:rsidRDefault="00B72AB8" w:rsidP="00412E7A">
      <w:pPr>
        <w:pStyle w:val="ListParagraph"/>
        <w:numPr>
          <w:ilvl w:val="0"/>
          <w:numId w:val="2"/>
        </w:numPr>
        <w:spacing w:before="240" w:line="276" w:lineRule="auto"/>
      </w:pPr>
      <w:r w:rsidRPr="00B66064">
        <w:t>Move from Site to Capital Value (note this is legally required</w:t>
      </w:r>
      <w:r w:rsidR="00B66064" w:rsidRPr="00B66064">
        <w:t>)</w:t>
      </w:r>
    </w:p>
    <w:p w14:paraId="15C5712C" w14:textId="188C7380" w:rsidR="00412E7A" w:rsidRPr="00B66064" w:rsidRDefault="00412E7A" w:rsidP="00412E7A">
      <w:pPr>
        <w:pStyle w:val="ListParagraph"/>
        <w:numPr>
          <w:ilvl w:val="0"/>
          <w:numId w:val="2"/>
        </w:numPr>
        <w:spacing w:before="240" w:line="276" w:lineRule="auto"/>
      </w:pPr>
      <w:r w:rsidRPr="00B66064">
        <w:t xml:space="preserve">Move to a differential rating structure based on </w:t>
      </w:r>
      <w:r w:rsidR="00F906A0">
        <w:t>Land Use</w:t>
      </w:r>
      <w:r w:rsidRPr="00B66064">
        <w:t xml:space="preserve"> instead of </w:t>
      </w:r>
      <w:r w:rsidR="00F906A0">
        <w:t>L</w:t>
      </w:r>
      <w:r w:rsidR="00DD56DD" w:rsidRPr="00B66064">
        <w:t>ocality</w:t>
      </w:r>
      <w:r w:rsidR="00AF3409">
        <w:t xml:space="preserve"> (except for Silos)</w:t>
      </w:r>
      <w:r w:rsidR="00D31DA4" w:rsidRPr="00B66064">
        <w:t>.</w:t>
      </w:r>
      <w:r w:rsidR="00F906A0">
        <w:t xml:space="preserve"> </w:t>
      </w:r>
      <w:r w:rsidR="00D31DA4" w:rsidRPr="00B66064">
        <w:t xml:space="preserve"> These </w:t>
      </w:r>
      <w:r w:rsidR="00F906A0">
        <w:t>Land Use</w:t>
      </w:r>
      <w:r w:rsidR="00D31DA4" w:rsidRPr="00B66064">
        <w:t>s would be:</w:t>
      </w:r>
    </w:p>
    <w:p w14:paraId="7A8249A1" w14:textId="737338EC" w:rsidR="00D31DA4" w:rsidRDefault="00D31DA4" w:rsidP="00D31DA4">
      <w:pPr>
        <w:pStyle w:val="ListParagraph"/>
        <w:numPr>
          <w:ilvl w:val="1"/>
          <w:numId w:val="2"/>
        </w:numPr>
        <w:spacing w:before="240" w:line="276" w:lineRule="auto"/>
      </w:pPr>
      <w:r>
        <w:t>Residential</w:t>
      </w:r>
    </w:p>
    <w:p w14:paraId="27346BCD" w14:textId="10DFADC8" w:rsidR="00D31DA4" w:rsidRDefault="00D31DA4" w:rsidP="00D31DA4">
      <w:pPr>
        <w:pStyle w:val="ListParagraph"/>
        <w:numPr>
          <w:ilvl w:val="1"/>
          <w:numId w:val="2"/>
        </w:numPr>
        <w:spacing w:before="240" w:line="276" w:lineRule="auto"/>
      </w:pPr>
      <w:r>
        <w:t>Commercial</w:t>
      </w:r>
      <w:r w:rsidR="00BD297C">
        <w:t xml:space="preserve"> (Shop, Office and Other)</w:t>
      </w:r>
    </w:p>
    <w:p w14:paraId="26C41CB9" w14:textId="6086C1BD" w:rsidR="00D31DA4" w:rsidRDefault="00D31DA4" w:rsidP="00D31DA4">
      <w:pPr>
        <w:pStyle w:val="ListParagraph"/>
        <w:numPr>
          <w:ilvl w:val="1"/>
          <w:numId w:val="2"/>
        </w:numPr>
        <w:spacing w:before="240" w:line="276" w:lineRule="auto"/>
      </w:pPr>
      <w:r>
        <w:t>Industrial</w:t>
      </w:r>
      <w:r w:rsidR="00BD297C">
        <w:t xml:space="preserve"> (Light and Other)</w:t>
      </w:r>
    </w:p>
    <w:p w14:paraId="2CED5296" w14:textId="6039DDCC" w:rsidR="00D31DA4" w:rsidRDefault="00D31DA4" w:rsidP="00D31DA4">
      <w:pPr>
        <w:pStyle w:val="ListParagraph"/>
        <w:numPr>
          <w:ilvl w:val="1"/>
          <w:numId w:val="2"/>
        </w:numPr>
        <w:spacing w:before="240" w:line="276" w:lineRule="auto"/>
      </w:pPr>
      <w:r>
        <w:lastRenderedPageBreak/>
        <w:t>Vacant Land</w:t>
      </w:r>
    </w:p>
    <w:p w14:paraId="18561313" w14:textId="00A9288A" w:rsidR="00D31DA4" w:rsidRDefault="00D31DA4" w:rsidP="00D31DA4">
      <w:pPr>
        <w:pStyle w:val="ListParagraph"/>
        <w:numPr>
          <w:ilvl w:val="1"/>
          <w:numId w:val="2"/>
        </w:numPr>
        <w:spacing w:before="240" w:line="276" w:lineRule="auto"/>
      </w:pPr>
      <w:r>
        <w:t>Primary Production</w:t>
      </w:r>
    </w:p>
    <w:p w14:paraId="02CDA493" w14:textId="751206B5" w:rsidR="00D31DA4" w:rsidRDefault="00D31DA4" w:rsidP="00D31DA4">
      <w:pPr>
        <w:pStyle w:val="ListParagraph"/>
        <w:numPr>
          <w:ilvl w:val="1"/>
          <w:numId w:val="2"/>
        </w:numPr>
        <w:spacing w:before="240" w:line="276" w:lineRule="auto"/>
      </w:pPr>
      <w:r>
        <w:t>Other</w:t>
      </w:r>
    </w:p>
    <w:p w14:paraId="56FD0893" w14:textId="6E29530A" w:rsidR="00B72AB8" w:rsidRDefault="00B72AB8" w:rsidP="00B72AB8">
      <w:pPr>
        <w:pStyle w:val="ListParagraph"/>
        <w:numPr>
          <w:ilvl w:val="0"/>
          <w:numId w:val="2"/>
        </w:numPr>
        <w:spacing w:before="240" w:line="276" w:lineRule="auto"/>
      </w:pPr>
      <w:r>
        <w:t xml:space="preserve">That all </w:t>
      </w:r>
      <w:r w:rsidR="00F906A0">
        <w:t>Land Use</w:t>
      </w:r>
      <w:r>
        <w:t xml:space="preserve"> categories would have the same </w:t>
      </w:r>
      <w:r w:rsidR="00B66064">
        <w:t>R</w:t>
      </w:r>
      <w:r>
        <w:t xml:space="preserve">ate in the </w:t>
      </w:r>
      <w:r w:rsidR="00B66064">
        <w:t>D</w:t>
      </w:r>
      <w:r>
        <w:t>ollar</w:t>
      </w:r>
    </w:p>
    <w:p w14:paraId="0B2A413D" w14:textId="1500CC3A" w:rsidR="00B72AB8" w:rsidRDefault="00B72AB8" w:rsidP="00B72AB8">
      <w:pPr>
        <w:pStyle w:val="ListParagraph"/>
        <w:numPr>
          <w:ilvl w:val="0"/>
          <w:numId w:val="2"/>
        </w:numPr>
        <w:spacing w:before="240" w:line="276" w:lineRule="auto"/>
      </w:pPr>
      <w:r>
        <w:t>That the Employment Bulk Handling Zone rating category would be retained.  This zone includes the Silo properties.</w:t>
      </w:r>
    </w:p>
    <w:p w14:paraId="662975F8" w14:textId="78FAA6B1" w:rsidR="00B72AB8" w:rsidRDefault="00B66064" w:rsidP="00B72AB8">
      <w:pPr>
        <w:pStyle w:val="ListParagraph"/>
        <w:numPr>
          <w:ilvl w:val="0"/>
          <w:numId w:val="2"/>
        </w:numPr>
        <w:spacing w:before="240" w:line="276" w:lineRule="auto"/>
      </w:pPr>
      <w:r>
        <w:t>That the Employment Bulk Handling Zone properties as a whole would provide the same total rates as currently</w:t>
      </w:r>
      <w:r w:rsidR="00F906A0">
        <w:t>,</w:t>
      </w:r>
      <w:r>
        <w:t xml:space="preserve"> and the Rate in the Dollar is set accordingly.</w:t>
      </w:r>
    </w:p>
    <w:p w14:paraId="42D9D09B" w14:textId="1E427868" w:rsidR="002F2BC8" w:rsidRDefault="002F2BC8" w:rsidP="00B72AB8">
      <w:pPr>
        <w:pStyle w:val="ListParagraph"/>
        <w:numPr>
          <w:ilvl w:val="0"/>
          <w:numId w:val="2"/>
        </w:numPr>
        <w:spacing w:before="240" w:line="276" w:lineRule="auto"/>
      </w:pPr>
      <w:r>
        <w:t>That the Fixed Charge would be retained.</w:t>
      </w:r>
    </w:p>
    <w:p w14:paraId="449F9792" w14:textId="2CEF3E91" w:rsidR="000825AD" w:rsidRDefault="00412E7A" w:rsidP="00412E7A">
      <w:pPr>
        <w:spacing w:before="240" w:line="276" w:lineRule="auto"/>
      </w:pPr>
      <w:r w:rsidRPr="00B66064">
        <w:t>The proposed</w:t>
      </w:r>
      <w:r w:rsidR="000825AD" w:rsidRPr="00B66064">
        <w:t xml:space="preserve"> changes are detailed in Section 17 of this paper.</w:t>
      </w:r>
      <w:r w:rsidR="000825AD">
        <w:t xml:space="preserve">  </w:t>
      </w:r>
    </w:p>
    <w:p w14:paraId="784B87AE" w14:textId="694C690E" w:rsidR="00053954" w:rsidRDefault="00053954" w:rsidP="00084C2B">
      <w:pPr>
        <w:pStyle w:val="Heading1"/>
      </w:pPr>
      <w:bookmarkStart w:id="16" w:name="_Toc148094995"/>
      <w:r>
        <w:t>Support for Ratepayers</w:t>
      </w:r>
      <w:bookmarkEnd w:id="16"/>
    </w:p>
    <w:p w14:paraId="199CBC44" w14:textId="153488B6" w:rsidR="00053954" w:rsidRDefault="0087000B" w:rsidP="00053954">
      <w:r>
        <w:t>The change to Capital Value</w:t>
      </w:r>
      <w:r w:rsidR="00053954">
        <w:t xml:space="preserve"> will result in some ratepayers paying l</w:t>
      </w:r>
      <w:r w:rsidR="00F906A0">
        <w:t>ower</w:t>
      </w:r>
      <w:r w:rsidR="00053954">
        <w:t xml:space="preserve"> rates tha</w:t>
      </w:r>
      <w:r>
        <w:t>n</w:t>
      </w:r>
      <w:r w:rsidR="00053954">
        <w:t xml:space="preserve"> previously and </w:t>
      </w:r>
      <w:r w:rsidR="00F906A0">
        <w:t>oth</w:t>
      </w:r>
      <w:r w:rsidR="00053954">
        <w:t>ers paying more</w:t>
      </w:r>
      <w:r>
        <w:t>.</w:t>
      </w:r>
    </w:p>
    <w:p w14:paraId="51CA9A62" w14:textId="79A14A93" w:rsidR="00053954" w:rsidRDefault="00053954" w:rsidP="00053954">
      <w:r>
        <w:t>Whilst the main change of moving to Capital Value is outside of Council</w:t>
      </w:r>
      <w:r w:rsidR="00F906A0">
        <w:t>'</w:t>
      </w:r>
      <w:r>
        <w:t>s control, Council is aware that ratepayers</w:t>
      </w:r>
      <w:r w:rsidR="00D31DA4">
        <w:t xml:space="preserve"> affected by increased rates</w:t>
      </w:r>
      <w:r>
        <w:t xml:space="preserve"> may find </w:t>
      </w:r>
      <w:r w:rsidR="00D31DA4">
        <w:t>this difficult to manage</w:t>
      </w:r>
      <w:r>
        <w:t>.</w:t>
      </w:r>
    </w:p>
    <w:p w14:paraId="083F47A9" w14:textId="4DBBDC19" w:rsidR="000E68F7" w:rsidRDefault="000E68F7" w:rsidP="00053954">
      <w:r>
        <w:t xml:space="preserve">Council </w:t>
      </w:r>
      <w:r w:rsidR="00B66064">
        <w:t xml:space="preserve">has a Hardship Policy </w:t>
      </w:r>
      <w:r>
        <w:t xml:space="preserve">to assist ratepayers </w:t>
      </w:r>
      <w:r w:rsidR="00F906A0">
        <w:t>who</w:t>
      </w:r>
      <w:r>
        <w:t xml:space="preserve"> are finding it difficult to pay their rates due to the changes that are occurring from changing from Site to Capital Value.</w:t>
      </w:r>
    </w:p>
    <w:p w14:paraId="344D3D79" w14:textId="3AF1C53C" w:rsidR="001119D5" w:rsidRDefault="000E68F7" w:rsidP="00053954">
      <w:r>
        <w:t xml:space="preserve">This Policy </w:t>
      </w:r>
      <w:r w:rsidR="00B66064">
        <w:t>provides</w:t>
      </w:r>
      <w:r>
        <w:t xml:space="preserve"> the following support;</w:t>
      </w:r>
    </w:p>
    <w:p w14:paraId="50341A47" w14:textId="4587D9D6" w:rsidR="00D31DA4" w:rsidRDefault="000E68F7" w:rsidP="0087000B">
      <w:pPr>
        <w:numPr>
          <w:ilvl w:val="0"/>
          <w:numId w:val="23"/>
        </w:numPr>
        <w:spacing w:after="0"/>
      </w:pPr>
      <w:r>
        <w:t>Payment Plans</w:t>
      </w:r>
      <w:r w:rsidR="001119D5">
        <w:t xml:space="preserve"> for ratepayers </w:t>
      </w:r>
      <w:r w:rsidR="00F906A0">
        <w:t>who</w:t>
      </w:r>
      <w:r w:rsidR="001119D5">
        <w:t xml:space="preserve"> apply for assistance.</w:t>
      </w:r>
      <w:r w:rsidR="00F906A0">
        <w:t xml:space="preserve"> </w:t>
      </w:r>
      <w:r w:rsidR="001119D5">
        <w:t xml:space="preserve"> Where payment arrangements are in place, ratepayers will not be charged fines for late quarter payments</w:t>
      </w:r>
      <w:r w:rsidR="0087000B">
        <w:t>,</w:t>
      </w:r>
      <w:r w:rsidR="001119D5">
        <w:t xml:space="preserve"> provided they adhere to the payment plan.</w:t>
      </w:r>
      <w:r w:rsidR="00F906A0">
        <w:t xml:space="preserve"> </w:t>
      </w:r>
      <w:r w:rsidR="001119D5">
        <w:t xml:space="preserve"> Interest would still apply</w:t>
      </w:r>
      <w:r w:rsidR="00EE687F">
        <w:t>.</w:t>
      </w:r>
    </w:p>
    <w:p w14:paraId="70741032" w14:textId="77777777" w:rsidR="00B66064" w:rsidRDefault="00B66064" w:rsidP="00B66064">
      <w:pPr>
        <w:spacing w:after="0"/>
      </w:pPr>
    </w:p>
    <w:p w14:paraId="0446786E" w14:textId="6F6E6336" w:rsidR="001119D5" w:rsidRDefault="00B66064" w:rsidP="00B66064">
      <w:pPr>
        <w:spacing w:after="0"/>
      </w:pPr>
      <w:r>
        <w:t>In addition to the Hardship Policy</w:t>
      </w:r>
      <w:r w:rsidR="00F906A0">
        <w:t>, Seniors can</w:t>
      </w:r>
      <w:r>
        <w:t xml:space="preserve"> postpone a portion of rates.  </w:t>
      </w:r>
      <w:r w:rsidR="001119D5">
        <w:t xml:space="preserve">The postponed portion would not require payment until a property </w:t>
      </w:r>
      <w:r w:rsidR="0087000B">
        <w:t xml:space="preserve">is </w:t>
      </w:r>
      <w:r w:rsidR="001119D5">
        <w:t>sold.</w:t>
      </w:r>
      <w:r w:rsidR="00F906A0">
        <w:t xml:space="preserve"> </w:t>
      </w:r>
      <w:r w:rsidR="001119D5">
        <w:t xml:space="preserve"> Interest would still apply.</w:t>
      </w:r>
    </w:p>
    <w:p w14:paraId="173DD07C" w14:textId="1B467036" w:rsidR="00CC6D68" w:rsidRPr="0048309F" w:rsidRDefault="00CC6D68" w:rsidP="00084C2B">
      <w:pPr>
        <w:pStyle w:val="Heading1"/>
      </w:pPr>
      <w:bookmarkStart w:id="17" w:name="_Toc148094996"/>
      <w:r w:rsidRPr="0048309F">
        <w:t>Consultation</w:t>
      </w:r>
      <w:bookmarkEnd w:id="17"/>
    </w:p>
    <w:p w14:paraId="3973EBEE" w14:textId="51AF059C" w:rsidR="00E409ED" w:rsidRPr="00E409ED" w:rsidRDefault="00E409ED" w:rsidP="00020050">
      <w:pPr>
        <w:rPr>
          <w:rFonts w:eastAsia="Times New Roman"/>
        </w:rPr>
      </w:pPr>
      <w:r w:rsidRPr="00E409ED">
        <w:rPr>
          <w:rFonts w:eastAsia="Times New Roman"/>
        </w:rPr>
        <w:t xml:space="preserve">It is important for Council to receive feedback from </w:t>
      </w:r>
      <w:r w:rsidR="00F8693E">
        <w:rPr>
          <w:rFonts w:eastAsia="Times New Roman"/>
        </w:rPr>
        <w:t>the</w:t>
      </w:r>
      <w:r w:rsidRPr="00E409ED">
        <w:rPr>
          <w:rFonts w:eastAsia="Times New Roman"/>
        </w:rPr>
        <w:t xml:space="preserve"> community when making decisions that affect </w:t>
      </w:r>
      <w:r w:rsidR="00F8693E">
        <w:rPr>
          <w:rFonts w:eastAsia="Times New Roman"/>
        </w:rPr>
        <w:t>ratepayers</w:t>
      </w:r>
      <w:r w:rsidRPr="00E409ED">
        <w:rPr>
          <w:rFonts w:eastAsia="Times New Roman"/>
        </w:rPr>
        <w:t>.</w:t>
      </w:r>
      <w:r w:rsidR="00F906A0">
        <w:rPr>
          <w:rFonts w:eastAsia="Times New Roman"/>
        </w:rPr>
        <w:t xml:space="preserve"> </w:t>
      </w:r>
      <w:r w:rsidRPr="00E409ED">
        <w:rPr>
          <w:rFonts w:eastAsia="Times New Roman"/>
        </w:rPr>
        <w:t xml:space="preserve"> </w:t>
      </w:r>
      <w:r w:rsidR="00F8693E">
        <w:rPr>
          <w:rFonts w:eastAsia="Times New Roman"/>
        </w:rPr>
        <w:t xml:space="preserve">Council is </w:t>
      </w:r>
      <w:r w:rsidRPr="00E409ED">
        <w:rPr>
          <w:rFonts w:eastAsia="Times New Roman"/>
        </w:rPr>
        <w:t>required to consult when reviewing rating methods</w:t>
      </w:r>
      <w:r w:rsidR="0087000B">
        <w:rPr>
          <w:rFonts w:eastAsia="Times New Roman"/>
        </w:rPr>
        <w:t>,</w:t>
      </w:r>
      <w:r w:rsidRPr="00E409ED">
        <w:rPr>
          <w:rFonts w:eastAsia="Times New Roman"/>
        </w:rPr>
        <w:t xml:space="preserve"> and your comments are very useful to help </w:t>
      </w:r>
      <w:r w:rsidR="00F8693E">
        <w:rPr>
          <w:rFonts w:eastAsia="Times New Roman"/>
        </w:rPr>
        <w:t>Council</w:t>
      </w:r>
      <w:r w:rsidRPr="00E409ED">
        <w:rPr>
          <w:rFonts w:eastAsia="Times New Roman"/>
        </w:rPr>
        <w:t xml:space="preserve"> understand </w:t>
      </w:r>
      <w:r w:rsidR="00F8693E">
        <w:rPr>
          <w:rFonts w:eastAsia="Times New Roman"/>
        </w:rPr>
        <w:t>the</w:t>
      </w:r>
      <w:r w:rsidRPr="00E409ED">
        <w:rPr>
          <w:rFonts w:eastAsia="Times New Roman"/>
        </w:rPr>
        <w:t xml:space="preserve"> community and make decisions that soundly reflect your current and future needs.</w:t>
      </w:r>
    </w:p>
    <w:p w14:paraId="2F2EDCDC" w14:textId="0820ED70" w:rsidR="00CC6D68" w:rsidRPr="008E6226" w:rsidRDefault="00CC6D68" w:rsidP="009E6B53">
      <w:r w:rsidRPr="008E6226">
        <w:t>Consultation Period</w:t>
      </w:r>
    </w:p>
    <w:p w14:paraId="33DB9DC5" w14:textId="14838BEB" w:rsidR="00CC6D68" w:rsidRDefault="00683D2E" w:rsidP="00020050">
      <w:pPr>
        <w:spacing w:after="0"/>
      </w:pPr>
      <w:r>
        <w:t>The consultation period will be for the following period:</w:t>
      </w:r>
    </w:p>
    <w:p w14:paraId="52CCAE02" w14:textId="1A4C5326" w:rsidR="005A7A66" w:rsidRDefault="005A7A66" w:rsidP="00020050">
      <w:pPr>
        <w:spacing w:after="0"/>
      </w:pPr>
    </w:p>
    <w:p w14:paraId="24B5A520" w14:textId="62DA01E1" w:rsidR="005A7A66" w:rsidRPr="000755E4" w:rsidRDefault="00B66064" w:rsidP="00EE687F">
      <w:pPr>
        <w:spacing w:after="0"/>
        <w:ind w:left="720"/>
        <w:rPr>
          <w:b/>
          <w:bCs/>
        </w:rPr>
      </w:pPr>
      <w:r>
        <w:rPr>
          <w:b/>
          <w:bCs/>
        </w:rPr>
        <w:t>Thursday 26</w:t>
      </w:r>
      <w:r w:rsidRPr="00B66064">
        <w:rPr>
          <w:b/>
          <w:bCs/>
          <w:vertAlign w:val="superscript"/>
        </w:rPr>
        <w:t>th</w:t>
      </w:r>
      <w:r>
        <w:rPr>
          <w:b/>
          <w:bCs/>
        </w:rPr>
        <w:t xml:space="preserve"> October to Thursday 23</w:t>
      </w:r>
      <w:r w:rsidRPr="00B66064">
        <w:rPr>
          <w:b/>
          <w:bCs/>
          <w:vertAlign w:val="superscript"/>
        </w:rPr>
        <w:t>rd</w:t>
      </w:r>
      <w:r>
        <w:rPr>
          <w:b/>
          <w:bCs/>
        </w:rPr>
        <w:t xml:space="preserve"> November 2023.</w:t>
      </w:r>
    </w:p>
    <w:p w14:paraId="05C2F982" w14:textId="77777777" w:rsidR="00D70E34" w:rsidRPr="000755E4" w:rsidRDefault="00D70E34" w:rsidP="00D70E34">
      <w:pPr>
        <w:spacing w:after="0"/>
        <w:rPr>
          <w:b/>
          <w:bCs/>
        </w:rPr>
      </w:pPr>
    </w:p>
    <w:p w14:paraId="7BE1BEB2" w14:textId="55FE7098" w:rsidR="00D70E34" w:rsidRDefault="00D70E34" w:rsidP="00D70E34">
      <w:pPr>
        <w:pStyle w:val="Heading2"/>
      </w:pPr>
      <w:bookmarkStart w:id="18" w:name="_Toc148094997"/>
      <w:r>
        <w:t>Information Session</w:t>
      </w:r>
      <w:bookmarkEnd w:id="18"/>
    </w:p>
    <w:p w14:paraId="79B09BD5" w14:textId="78E108AC" w:rsidR="00E53996" w:rsidRDefault="00D70E34" w:rsidP="00D70E34">
      <w:r w:rsidRPr="00FD1F25">
        <w:t>Council will hold an information session where a presentation will be made to explain the changes</w:t>
      </w:r>
      <w:r w:rsidR="00F906A0">
        <w:t>,</w:t>
      </w:r>
      <w:r w:rsidRPr="00FD1F25">
        <w:t xml:space="preserve"> and ratepayers attending will be able to speak to staff to see the possible changes for their properties.  </w:t>
      </w:r>
    </w:p>
    <w:p w14:paraId="19F492CE" w14:textId="1505C42B" w:rsidR="00D70E34" w:rsidRDefault="00E53996" w:rsidP="00D70E34">
      <w:r>
        <w:t>Staff will be available to answer enquiries about the impact on their properties.</w:t>
      </w:r>
    </w:p>
    <w:p w14:paraId="4D2CF03C" w14:textId="3EC71F62" w:rsidR="00C648FA" w:rsidRPr="00F906A0" w:rsidRDefault="00E53996" w:rsidP="00F906A0">
      <w:pPr>
        <w:ind w:left="720"/>
        <w:rPr>
          <w:b/>
          <w:bCs/>
        </w:rPr>
      </w:pPr>
      <w:r w:rsidRPr="00F906A0">
        <w:rPr>
          <w:b/>
          <w:bCs/>
        </w:rPr>
        <w:lastRenderedPageBreak/>
        <w:t xml:space="preserve">The Presentation and Community Information Session will be held at </w:t>
      </w:r>
      <w:r w:rsidR="00F906A0" w:rsidRPr="00F906A0">
        <w:rPr>
          <w:b/>
          <w:bCs/>
        </w:rPr>
        <w:t xml:space="preserve">the Senior Citizens Club, 11 Tumby </w:t>
      </w:r>
      <w:proofErr w:type="spellStart"/>
      <w:r w:rsidR="00F906A0" w:rsidRPr="00F906A0">
        <w:rPr>
          <w:b/>
          <w:bCs/>
        </w:rPr>
        <w:t>Tce</w:t>
      </w:r>
      <w:proofErr w:type="spellEnd"/>
      <w:r w:rsidR="00F906A0" w:rsidRPr="00F906A0">
        <w:rPr>
          <w:b/>
          <w:bCs/>
        </w:rPr>
        <w:t>, Tumby Bay.</w:t>
      </w:r>
    </w:p>
    <w:p w14:paraId="66CBB0A0" w14:textId="43213131" w:rsidR="00D70E34" w:rsidRPr="000755E4" w:rsidRDefault="00E53996" w:rsidP="00D70E34">
      <w:r w:rsidRPr="000755E4">
        <w:t xml:space="preserve">Staff will be available at </w:t>
      </w:r>
      <w:r w:rsidR="00F906A0">
        <w:t>the Council office</w:t>
      </w:r>
      <w:r w:rsidR="000755E4" w:rsidRPr="000755E4">
        <w:t xml:space="preserve"> for a drop</w:t>
      </w:r>
      <w:r w:rsidR="00F906A0">
        <w:t>-</w:t>
      </w:r>
      <w:r w:rsidR="000755E4" w:rsidRPr="000755E4">
        <w:t>in session for those who cannot attend the information session</w:t>
      </w:r>
      <w:r w:rsidR="00F906A0">
        <w:t>.</w:t>
      </w:r>
      <w:r w:rsidRPr="000755E4">
        <w:t xml:space="preserve"> </w:t>
      </w:r>
    </w:p>
    <w:p w14:paraId="695250A3" w14:textId="15EC73E7" w:rsidR="00D435E9" w:rsidRPr="00D435E9" w:rsidRDefault="00F906A0" w:rsidP="00D435E9">
      <w:pPr>
        <w:spacing w:after="0"/>
        <w:ind w:firstLine="720"/>
        <w:rPr>
          <w:b/>
          <w:sz w:val="24"/>
          <w:szCs w:val="24"/>
        </w:rPr>
      </w:pPr>
      <w:r w:rsidRPr="00D435E9">
        <w:rPr>
          <w:b/>
          <w:bCs/>
        </w:rPr>
        <w:t xml:space="preserve">Drop-In </w:t>
      </w:r>
      <w:r w:rsidR="009F6A41" w:rsidRPr="00D435E9">
        <w:rPr>
          <w:b/>
          <w:bCs/>
        </w:rPr>
        <w:t>Session</w:t>
      </w:r>
      <w:r w:rsidR="00D435E9" w:rsidRPr="00D435E9">
        <w:rPr>
          <w:b/>
          <w:bCs/>
        </w:rPr>
        <w:t>s</w:t>
      </w:r>
      <w:r w:rsidR="009F6A41" w:rsidRPr="00D435E9">
        <w:rPr>
          <w:b/>
          <w:bCs/>
        </w:rPr>
        <w:t xml:space="preserve">  - </w:t>
      </w:r>
    </w:p>
    <w:p w14:paraId="42C9A561" w14:textId="4843BA63" w:rsidR="00D435E9" w:rsidRPr="00D435E9" w:rsidRDefault="00D435E9" w:rsidP="00D435E9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 w:rsidRPr="00D435E9">
        <w:rPr>
          <w:b/>
          <w:bCs/>
        </w:rPr>
        <w:t>Thursday 9 November 2023 – 2:30pm – 4:30pm</w:t>
      </w:r>
    </w:p>
    <w:p w14:paraId="6E87D88E" w14:textId="77777777" w:rsidR="00D435E9" w:rsidRPr="00D435E9" w:rsidRDefault="00D435E9" w:rsidP="00D435E9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 w:rsidRPr="00D435E9">
        <w:rPr>
          <w:b/>
          <w:bCs/>
        </w:rPr>
        <w:t>Tuesday 14 November 2023 – 5pm – 7pm</w:t>
      </w:r>
    </w:p>
    <w:p w14:paraId="057BD0A1" w14:textId="6C8BBFA3" w:rsidR="005A7A66" w:rsidRPr="00D435E9" w:rsidRDefault="005A7A66" w:rsidP="00D435E9">
      <w:pPr>
        <w:pStyle w:val="ListParagraph"/>
        <w:spacing w:after="0"/>
        <w:ind w:left="1440"/>
        <w:rPr>
          <w:b/>
          <w:bCs/>
          <w:highlight w:val="yellow"/>
        </w:rPr>
      </w:pPr>
    </w:p>
    <w:p w14:paraId="7A1E3D7B" w14:textId="0F204327" w:rsidR="00CC6D68" w:rsidRPr="000755E4" w:rsidRDefault="00CC6D68" w:rsidP="008749D6">
      <w:pPr>
        <w:pStyle w:val="Heading2"/>
      </w:pPr>
      <w:bookmarkStart w:id="19" w:name="_Toc64397450"/>
      <w:bookmarkStart w:id="20" w:name="_Toc64397531"/>
      <w:bookmarkStart w:id="21" w:name="_Toc64397451"/>
      <w:bookmarkStart w:id="22" w:name="_Toc64397532"/>
      <w:bookmarkStart w:id="23" w:name="_Toc148094998"/>
      <w:bookmarkEnd w:id="19"/>
      <w:bookmarkEnd w:id="20"/>
      <w:bookmarkEnd w:id="21"/>
      <w:bookmarkEnd w:id="22"/>
      <w:r w:rsidRPr="000755E4">
        <w:t>Submissions</w:t>
      </w:r>
      <w:bookmarkEnd w:id="23"/>
    </w:p>
    <w:p w14:paraId="75297E55" w14:textId="743057FC" w:rsidR="00CC6D68" w:rsidRPr="000E68F7" w:rsidRDefault="0087000B" w:rsidP="00020050">
      <w:pPr>
        <w:rPr>
          <w:highlight w:val="yellow"/>
        </w:rPr>
      </w:pPr>
      <w:r w:rsidRPr="000755E4">
        <w:t>Community members are invited to write</w:t>
      </w:r>
      <w:r w:rsidR="00047B48" w:rsidRPr="000755E4">
        <w:t xml:space="preserve"> submissions expressing their views on the future structure of </w:t>
      </w:r>
      <w:r w:rsidRPr="000755E4">
        <w:t xml:space="preserve">the </w:t>
      </w:r>
      <w:r w:rsidR="00047B48" w:rsidRPr="000755E4">
        <w:t>Council</w:t>
      </w:r>
      <w:r w:rsidR="00F906A0">
        <w:t>'</w:t>
      </w:r>
      <w:r w:rsidR="00047B48" w:rsidRPr="000755E4">
        <w:t xml:space="preserve">s basis of </w:t>
      </w:r>
      <w:r w:rsidRPr="000755E4">
        <w:t>r</w:t>
      </w:r>
      <w:r w:rsidR="00047B48" w:rsidRPr="000755E4">
        <w:t>ating and the information</w:t>
      </w:r>
      <w:r w:rsidR="00047B48">
        <w:t xml:space="preserve"> contained within this consultation paper.</w:t>
      </w:r>
      <w:r w:rsidR="00F906A0">
        <w:t xml:space="preserve"> </w:t>
      </w:r>
      <w:r w:rsidR="00047B48">
        <w:t xml:space="preserve"> </w:t>
      </w:r>
      <w:r w:rsidR="00047B48" w:rsidRPr="000755E4">
        <w:t xml:space="preserve">Submissions will be accepted until </w:t>
      </w:r>
      <w:r w:rsidR="00EE687F" w:rsidRPr="00B66064">
        <w:rPr>
          <w:b/>
          <w:bCs/>
        </w:rPr>
        <w:t>5</w:t>
      </w:r>
      <w:r w:rsidR="00F906A0">
        <w:rPr>
          <w:b/>
          <w:bCs/>
        </w:rPr>
        <w:t xml:space="preserve"> </w:t>
      </w:r>
      <w:r w:rsidR="00EE687F" w:rsidRPr="00B66064">
        <w:rPr>
          <w:b/>
          <w:bCs/>
        </w:rPr>
        <w:t xml:space="preserve">pm on </w:t>
      </w:r>
      <w:r w:rsidR="00B66064" w:rsidRPr="00B66064">
        <w:rPr>
          <w:b/>
          <w:bCs/>
        </w:rPr>
        <w:t>Thursday 23</w:t>
      </w:r>
      <w:r w:rsidR="00B66064" w:rsidRPr="00B66064">
        <w:rPr>
          <w:b/>
          <w:bCs/>
          <w:vertAlign w:val="superscript"/>
        </w:rPr>
        <w:t>rd</w:t>
      </w:r>
      <w:r w:rsidR="00B66064" w:rsidRPr="00B66064">
        <w:rPr>
          <w:b/>
          <w:bCs/>
        </w:rPr>
        <w:t xml:space="preserve"> November</w:t>
      </w:r>
      <w:r w:rsidR="00DD56DD" w:rsidRPr="00B66064">
        <w:rPr>
          <w:b/>
          <w:bCs/>
        </w:rPr>
        <w:t>.</w:t>
      </w:r>
    </w:p>
    <w:p w14:paraId="74FC084C" w14:textId="4DC2610C" w:rsidR="000E68F7" w:rsidRDefault="000E68F7" w:rsidP="000E68F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Written Submissions to:</w:t>
      </w:r>
    </w:p>
    <w:p w14:paraId="0D428ACD" w14:textId="77777777" w:rsidR="000E68F7" w:rsidRDefault="000E68F7" w:rsidP="000E68F7">
      <w:pPr>
        <w:pStyle w:val="ListParagraph"/>
        <w:rPr>
          <w:b/>
          <w:bCs/>
          <w:sz w:val="24"/>
          <w:szCs w:val="24"/>
        </w:rPr>
      </w:pPr>
    </w:p>
    <w:p w14:paraId="6E2529B8" w14:textId="4D669F59" w:rsidR="000E68F7" w:rsidRPr="000755E4" w:rsidRDefault="000E68F7" w:rsidP="000E68F7">
      <w:pPr>
        <w:pStyle w:val="ListParagraph"/>
        <w:rPr>
          <w:b/>
          <w:bCs/>
          <w:sz w:val="24"/>
          <w:szCs w:val="24"/>
        </w:rPr>
      </w:pPr>
      <w:r w:rsidRPr="000755E4">
        <w:rPr>
          <w:b/>
          <w:bCs/>
          <w:sz w:val="24"/>
          <w:szCs w:val="24"/>
        </w:rPr>
        <w:t>Chief Executive Officer</w:t>
      </w:r>
    </w:p>
    <w:p w14:paraId="22BE57D4" w14:textId="77777777" w:rsidR="000E68F7" w:rsidRPr="000755E4" w:rsidRDefault="000E68F7" w:rsidP="000E68F7">
      <w:pPr>
        <w:pStyle w:val="ListParagraph"/>
        <w:rPr>
          <w:b/>
          <w:bCs/>
          <w:sz w:val="24"/>
          <w:szCs w:val="24"/>
        </w:rPr>
      </w:pPr>
      <w:r w:rsidRPr="000755E4">
        <w:rPr>
          <w:b/>
          <w:bCs/>
          <w:sz w:val="24"/>
          <w:szCs w:val="24"/>
        </w:rPr>
        <w:t xml:space="preserve">District Council of </w:t>
      </w:r>
      <w:r>
        <w:rPr>
          <w:b/>
          <w:bCs/>
          <w:sz w:val="24"/>
          <w:szCs w:val="24"/>
        </w:rPr>
        <w:t>Tumby Bay</w:t>
      </w:r>
    </w:p>
    <w:p w14:paraId="7B3C2DB7" w14:textId="77777777" w:rsidR="000E68F7" w:rsidRPr="000755E4" w:rsidRDefault="000E68F7" w:rsidP="000E68F7">
      <w:pPr>
        <w:pStyle w:val="ListParagraph"/>
        <w:rPr>
          <w:b/>
          <w:bCs/>
          <w:sz w:val="24"/>
          <w:szCs w:val="24"/>
        </w:rPr>
      </w:pPr>
      <w:r w:rsidRPr="000755E4">
        <w:rPr>
          <w:b/>
          <w:bCs/>
          <w:sz w:val="24"/>
          <w:szCs w:val="24"/>
        </w:rPr>
        <w:t xml:space="preserve">PO Box </w:t>
      </w:r>
      <w:r>
        <w:rPr>
          <w:b/>
          <w:bCs/>
          <w:sz w:val="24"/>
          <w:szCs w:val="24"/>
        </w:rPr>
        <w:t>61, Tumby Bay, SA 5605</w:t>
      </w:r>
    </w:p>
    <w:p w14:paraId="4EB2AD2E" w14:textId="77777777" w:rsidR="000E68F7" w:rsidRPr="000755E4" w:rsidRDefault="000E68F7" w:rsidP="000E68F7">
      <w:pPr>
        <w:pStyle w:val="ListParagraph"/>
        <w:rPr>
          <w:b/>
          <w:bCs/>
          <w:sz w:val="24"/>
          <w:szCs w:val="24"/>
        </w:rPr>
      </w:pPr>
    </w:p>
    <w:p w14:paraId="37AAA689" w14:textId="77777777" w:rsidR="000E68F7" w:rsidRPr="000755E4" w:rsidRDefault="000E68F7" w:rsidP="000E68F7">
      <w:pPr>
        <w:pStyle w:val="ListParagrap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Cnr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Mortlock</w:t>
      </w:r>
      <w:proofErr w:type="spellEnd"/>
      <w:r>
        <w:rPr>
          <w:b/>
          <w:bCs/>
          <w:sz w:val="24"/>
          <w:szCs w:val="24"/>
        </w:rPr>
        <w:t xml:space="preserve"> Street and West Terrace</w:t>
      </w:r>
    </w:p>
    <w:p w14:paraId="28C3B408" w14:textId="77777777" w:rsidR="000E68F7" w:rsidRPr="000755E4" w:rsidRDefault="000E68F7" w:rsidP="000E68F7">
      <w:pPr>
        <w:pStyle w:val="ListParagraph"/>
        <w:rPr>
          <w:sz w:val="24"/>
          <w:szCs w:val="24"/>
        </w:rPr>
      </w:pPr>
    </w:p>
    <w:p w14:paraId="76DE5DB6" w14:textId="77777777" w:rsidR="000E68F7" w:rsidRPr="000755E4" w:rsidRDefault="000E68F7" w:rsidP="000E68F7">
      <w:pPr>
        <w:pStyle w:val="ListParagraph"/>
        <w:rPr>
          <w:b/>
          <w:bCs/>
          <w:sz w:val="24"/>
          <w:szCs w:val="24"/>
        </w:rPr>
      </w:pPr>
      <w:r w:rsidRPr="000755E4">
        <w:rPr>
          <w:b/>
          <w:bCs/>
          <w:sz w:val="24"/>
          <w:szCs w:val="24"/>
        </w:rPr>
        <w:t xml:space="preserve">Email: </w:t>
      </w:r>
      <w:r>
        <w:rPr>
          <w:b/>
          <w:bCs/>
          <w:sz w:val="24"/>
          <w:szCs w:val="24"/>
        </w:rPr>
        <w:t>dctumby@tumbybay.sa.gov.au</w:t>
      </w:r>
    </w:p>
    <w:p w14:paraId="26488332" w14:textId="77777777" w:rsidR="00E03F6C" w:rsidRPr="000755E4" w:rsidRDefault="00E03F6C" w:rsidP="00EE687F">
      <w:pPr>
        <w:spacing w:after="0"/>
        <w:ind w:left="720"/>
        <w:rPr>
          <w:b/>
          <w:bCs/>
        </w:rPr>
      </w:pPr>
    </w:p>
    <w:p w14:paraId="60092600" w14:textId="77777777" w:rsidR="00C2358B" w:rsidRPr="004558D9" w:rsidRDefault="00C2358B" w:rsidP="008749D6">
      <w:pPr>
        <w:pStyle w:val="Heading2"/>
      </w:pPr>
      <w:bookmarkStart w:id="24" w:name="_Toc148094999"/>
      <w:r w:rsidRPr="004558D9">
        <w:t>Public Meeting</w:t>
      </w:r>
      <w:bookmarkEnd w:id="24"/>
    </w:p>
    <w:p w14:paraId="2837138A" w14:textId="383DE312" w:rsidR="007419BC" w:rsidRPr="000E68F7" w:rsidRDefault="00A0497A" w:rsidP="00170CCE">
      <w:pPr>
        <w:rPr>
          <w:highlight w:val="yellow"/>
        </w:rPr>
      </w:pPr>
      <w:r w:rsidRPr="00445073">
        <w:t xml:space="preserve">In addition to written submissions, Council invites members of the community to </w:t>
      </w:r>
      <w:r w:rsidR="00C2358B" w:rsidRPr="00445073">
        <w:t xml:space="preserve">attend </w:t>
      </w:r>
      <w:r w:rsidRPr="00445073">
        <w:t>a public</w:t>
      </w:r>
      <w:r w:rsidR="00C2358B" w:rsidRPr="00445073">
        <w:t xml:space="preserve"> </w:t>
      </w:r>
      <w:r w:rsidR="00C2358B" w:rsidRPr="000755E4">
        <w:t>meeting</w:t>
      </w:r>
      <w:r w:rsidRPr="000755E4">
        <w:t xml:space="preserve"> </w:t>
      </w:r>
      <w:r w:rsidR="00392F64" w:rsidRPr="000755E4">
        <w:t xml:space="preserve">at the </w:t>
      </w:r>
      <w:r w:rsidR="00C648FA" w:rsidRPr="00B66064">
        <w:t xml:space="preserve">Council Chambers at </w:t>
      </w:r>
      <w:r w:rsidR="00B66064" w:rsidRPr="00B66064">
        <w:t xml:space="preserve">the corner of </w:t>
      </w:r>
      <w:proofErr w:type="spellStart"/>
      <w:r w:rsidR="00B66064" w:rsidRPr="00B66064">
        <w:t>Mortlock</w:t>
      </w:r>
      <w:proofErr w:type="spellEnd"/>
      <w:r w:rsidR="00B66064" w:rsidRPr="00B66064">
        <w:t xml:space="preserve"> Str</w:t>
      </w:r>
      <w:r w:rsidR="00F906A0">
        <w:t>e</w:t>
      </w:r>
      <w:r w:rsidR="00B66064" w:rsidRPr="00B66064">
        <w:t>et and West Terrace.</w:t>
      </w:r>
    </w:p>
    <w:p w14:paraId="5AF43BA9" w14:textId="393CFFDB" w:rsidR="00DA2AEC" w:rsidRPr="000755E4" w:rsidRDefault="00B66064" w:rsidP="007419BC">
      <w:pPr>
        <w:ind w:left="720"/>
        <w:rPr>
          <w:b/>
          <w:bCs/>
        </w:rPr>
      </w:pPr>
      <w:r>
        <w:rPr>
          <w:b/>
          <w:bCs/>
        </w:rPr>
        <w:t>Thursday 21</w:t>
      </w:r>
      <w:r w:rsidRPr="00B66064">
        <w:rPr>
          <w:b/>
          <w:bCs/>
          <w:vertAlign w:val="superscript"/>
        </w:rPr>
        <w:t>st</w:t>
      </w:r>
      <w:r>
        <w:rPr>
          <w:b/>
          <w:bCs/>
        </w:rPr>
        <w:t xml:space="preserve"> November 2023 at 5.30</w:t>
      </w:r>
      <w:r w:rsidR="00F906A0">
        <w:rPr>
          <w:b/>
          <w:bCs/>
        </w:rPr>
        <w:t xml:space="preserve"> </w:t>
      </w:r>
      <w:r>
        <w:rPr>
          <w:b/>
          <w:bCs/>
        </w:rPr>
        <w:t>pm</w:t>
      </w:r>
    </w:p>
    <w:p w14:paraId="5A03B5ED" w14:textId="41D712CE" w:rsidR="00A0497A" w:rsidRPr="00445073" w:rsidRDefault="00C27546" w:rsidP="00170CCE">
      <w:r w:rsidRPr="000755E4">
        <w:t>M</w:t>
      </w:r>
      <w:r w:rsidR="00C2358B" w:rsidRPr="000755E4">
        <w:t>embers</w:t>
      </w:r>
      <w:r w:rsidRPr="000755E4">
        <w:t xml:space="preserve"> of the public</w:t>
      </w:r>
      <w:r w:rsidR="00C2358B" w:rsidRPr="000755E4">
        <w:t xml:space="preserve"> can </w:t>
      </w:r>
      <w:r w:rsidR="00C2358B" w:rsidRPr="00445073">
        <w:t>make submissions in person at this meeting.</w:t>
      </w:r>
      <w:r w:rsidR="00AF3409">
        <w:t xml:space="preserve"> A registration system will be established to assist public in registering to speak at the meeting.</w:t>
      </w:r>
    </w:p>
    <w:p w14:paraId="5B671C76" w14:textId="05FDAEA9" w:rsidR="009A123E" w:rsidRPr="00EE687F" w:rsidRDefault="009A123E" w:rsidP="00020050">
      <w:r>
        <w:t>Further information regarding the Review of Council</w:t>
      </w:r>
      <w:r w:rsidR="00F906A0">
        <w:t>'</w:t>
      </w:r>
      <w:r>
        <w:t xml:space="preserve">s Basis of Rating can be obtained by contacting </w:t>
      </w:r>
      <w:r w:rsidR="00EE687F" w:rsidRPr="00EE687F">
        <w:t>Council</w:t>
      </w:r>
      <w:r w:rsidR="00EE687F">
        <w:t>.</w:t>
      </w:r>
    </w:p>
    <w:p w14:paraId="1DBBD321" w14:textId="77777777" w:rsidR="00CC6D68" w:rsidRPr="0048309F" w:rsidRDefault="00CC6D68" w:rsidP="00084C2B">
      <w:pPr>
        <w:pStyle w:val="Heading1"/>
      </w:pPr>
      <w:bookmarkStart w:id="25" w:name="_Toc148095000"/>
      <w:r w:rsidRPr="0048309F">
        <w:t>The Purpose of this Consultation Paper</w:t>
      </w:r>
      <w:bookmarkEnd w:id="25"/>
    </w:p>
    <w:p w14:paraId="499F60EB" w14:textId="230D9076" w:rsidR="00E409ED" w:rsidRPr="0006032E" w:rsidRDefault="00E409ED" w:rsidP="00A66FCC">
      <w:pPr>
        <w:rPr>
          <w:rFonts w:eastAsia="Times New Roman"/>
        </w:rPr>
      </w:pPr>
      <w:r w:rsidRPr="0006032E">
        <w:rPr>
          <w:rFonts w:eastAsia="Times New Roman"/>
        </w:rPr>
        <w:t xml:space="preserve">The purpose of this consultation paper is to provide our community with information </w:t>
      </w:r>
      <w:r w:rsidR="0087000B">
        <w:rPr>
          <w:rFonts w:eastAsia="Times New Roman"/>
        </w:rPr>
        <w:t>concerning</w:t>
      </w:r>
      <w:r w:rsidRPr="0006032E">
        <w:rPr>
          <w:rFonts w:eastAsia="Times New Roman"/>
        </w:rPr>
        <w:t xml:space="preserve"> the following</w:t>
      </w:r>
      <w:r w:rsidR="0087000B">
        <w:rPr>
          <w:rFonts w:eastAsia="Times New Roman"/>
        </w:rPr>
        <w:t>,</w:t>
      </w:r>
      <w:r w:rsidRPr="0006032E">
        <w:rPr>
          <w:rFonts w:eastAsia="Times New Roman"/>
        </w:rPr>
        <w:t xml:space="preserve"> which Council has considered as background to the proposed changes:</w:t>
      </w:r>
    </w:p>
    <w:p w14:paraId="0255FF9A" w14:textId="7BC6372E" w:rsidR="00E409ED" w:rsidRPr="0006032E" w:rsidRDefault="00E409ED" w:rsidP="00020050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</w:rPr>
      </w:pPr>
      <w:r w:rsidRPr="0006032E">
        <w:rPr>
          <w:rFonts w:eastAsia="Times New Roman"/>
        </w:rPr>
        <w:t xml:space="preserve">Why Councils collect </w:t>
      </w:r>
      <w:r w:rsidR="00DD56DD" w:rsidRPr="0006032E">
        <w:rPr>
          <w:rFonts w:eastAsia="Times New Roman"/>
        </w:rPr>
        <w:t>rates.</w:t>
      </w:r>
    </w:p>
    <w:p w14:paraId="383B5D76" w14:textId="6B63B5BE" w:rsidR="00E409ED" w:rsidRPr="0006032E" w:rsidRDefault="00E409ED" w:rsidP="00020050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</w:rPr>
      </w:pPr>
      <w:r w:rsidRPr="0006032E">
        <w:rPr>
          <w:rFonts w:eastAsia="Times New Roman"/>
        </w:rPr>
        <w:t>Council</w:t>
      </w:r>
      <w:r w:rsidR="00F906A0">
        <w:rPr>
          <w:rFonts w:eastAsia="Times New Roman"/>
        </w:rPr>
        <w:t>'</w:t>
      </w:r>
      <w:r w:rsidRPr="0006032E">
        <w:rPr>
          <w:rFonts w:eastAsia="Times New Roman"/>
        </w:rPr>
        <w:t>s current rating methodology</w:t>
      </w:r>
    </w:p>
    <w:p w14:paraId="587D3948" w14:textId="71C7FE93" w:rsidR="00E409ED" w:rsidRPr="0006032E" w:rsidRDefault="0087000B" w:rsidP="00020050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</w:rPr>
      </w:pPr>
      <w:r>
        <w:rPr>
          <w:rFonts w:eastAsia="Times New Roman"/>
        </w:rPr>
        <w:t>The l</w:t>
      </w:r>
      <w:r w:rsidR="00E409ED" w:rsidRPr="0006032E">
        <w:rPr>
          <w:rFonts w:eastAsia="Times New Roman"/>
        </w:rPr>
        <w:t xml:space="preserve">egislative framework for setting Council </w:t>
      </w:r>
      <w:r w:rsidR="00DD56DD" w:rsidRPr="0006032E">
        <w:rPr>
          <w:rFonts w:eastAsia="Times New Roman"/>
        </w:rPr>
        <w:t>rates.</w:t>
      </w:r>
    </w:p>
    <w:p w14:paraId="570B5F96" w14:textId="77777777" w:rsidR="00E409ED" w:rsidRPr="0006032E" w:rsidRDefault="00E409ED" w:rsidP="00020050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</w:rPr>
      </w:pPr>
      <w:r w:rsidRPr="0006032E">
        <w:rPr>
          <w:rFonts w:eastAsia="Times New Roman"/>
        </w:rPr>
        <w:t>Rating options available</w:t>
      </w:r>
    </w:p>
    <w:p w14:paraId="6A5EF4ED" w14:textId="37C46D20" w:rsidR="00E409ED" w:rsidRPr="00FD1F25" w:rsidRDefault="00E409ED" w:rsidP="00FD1F25">
      <w:pPr>
        <w:numPr>
          <w:ilvl w:val="0"/>
          <w:numId w:val="3"/>
        </w:numPr>
        <w:spacing w:after="0" w:line="276" w:lineRule="auto"/>
        <w:contextualSpacing/>
        <w:jc w:val="left"/>
        <w:rPr>
          <w:rFonts w:eastAsia="Times New Roman"/>
        </w:rPr>
      </w:pPr>
      <w:r w:rsidRPr="00FD1F25">
        <w:rPr>
          <w:rFonts w:eastAsia="Times New Roman"/>
        </w:rPr>
        <w:t xml:space="preserve">The right option for </w:t>
      </w:r>
      <w:r w:rsidR="00F906A0">
        <w:rPr>
          <w:rFonts w:eastAsia="Times New Roman"/>
        </w:rPr>
        <w:t>Tumby Bay</w:t>
      </w:r>
      <w:r w:rsidRPr="00332ECE">
        <w:rPr>
          <w:rFonts w:eastAsia="Times New Roman"/>
        </w:rPr>
        <w:t>?</w:t>
      </w:r>
    </w:p>
    <w:p w14:paraId="57E71677" w14:textId="77777777" w:rsidR="00E409ED" w:rsidRPr="0006032E" w:rsidRDefault="00E409ED" w:rsidP="00020050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</w:rPr>
      </w:pPr>
      <w:r w:rsidRPr="0006032E">
        <w:rPr>
          <w:rFonts w:eastAsia="Times New Roman"/>
        </w:rPr>
        <w:t>Consultation Requirements</w:t>
      </w:r>
    </w:p>
    <w:p w14:paraId="5755C26C" w14:textId="77777777" w:rsidR="00CC6D68" w:rsidRPr="0048309F" w:rsidRDefault="00CC6D68" w:rsidP="00084C2B">
      <w:pPr>
        <w:pStyle w:val="Heading1"/>
      </w:pPr>
      <w:bookmarkStart w:id="26" w:name="_Toc148095001"/>
      <w:r w:rsidRPr="0048309F">
        <w:lastRenderedPageBreak/>
        <w:t>Why Councils Collect Rates</w:t>
      </w:r>
      <w:bookmarkEnd w:id="26"/>
    </w:p>
    <w:p w14:paraId="1010985B" w14:textId="6A77A3FA" w:rsidR="00E409ED" w:rsidRDefault="00E409ED" w:rsidP="00020050">
      <w:r>
        <w:t xml:space="preserve">Councils are responsible for </w:t>
      </w:r>
      <w:r w:rsidR="0087000B">
        <w:t>delivering</w:t>
      </w:r>
      <w:r>
        <w:t xml:space="preserve"> a broad range of services to the community.</w:t>
      </w:r>
      <w:r w:rsidR="00F906A0">
        <w:t xml:space="preserve"> </w:t>
      </w:r>
      <w:r>
        <w:t xml:space="preserve"> The range of services continues to grow.</w:t>
      </w:r>
    </w:p>
    <w:p w14:paraId="67B19CD8" w14:textId="00A0E162" w:rsidR="00E409ED" w:rsidRDefault="00E409ED" w:rsidP="00020050">
      <w:r>
        <w:t xml:space="preserve">To support the provision of services and to improve the quality of life for </w:t>
      </w:r>
      <w:r w:rsidR="00F8693E">
        <w:t>the community, whether</w:t>
      </w:r>
      <w:r>
        <w:t xml:space="preserve"> residential or business, Councils provide significant levels of infrastructure in the form of roads, drainage, buildings</w:t>
      </w:r>
      <w:r w:rsidR="00D101D3">
        <w:t>,</w:t>
      </w:r>
      <w:r w:rsidR="00C2358B">
        <w:t xml:space="preserve"> </w:t>
      </w:r>
      <w:r>
        <w:t>par</w:t>
      </w:r>
      <w:r w:rsidR="00D101D3">
        <w:t>ks</w:t>
      </w:r>
      <w:r w:rsidR="00766CDD">
        <w:t>,</w:t>
      </w:r>
      <w:r>
        <w:t xml:space="preserve"> and recreation facilities.</w:t>
      </w:r>
      <w:r w:rsidR="00F906A0">
        <w:t xml:space="preserve"> </w:t>
      </w:r>
      <w:r>
        <w:t xml:space="preserve"> This infrastructure needs to be maintained and replaced.</w:t>
      </w:r>
      <w:r w:rsidR="00F906A0">
        <w:t xml:space="preserve"> </w:t>
      </w:r>
      <w:r w:rsidR="00F8693E">
        <w:t xml:space="preserve"> Councils also provide a vast range of other services to their communities.</w:t>
      </w:r>
    </w:p>
    <w:p w14:paraId="23DAF6BE" w14:textId="267C6FDE" w:rsidR="00E409ED" w:rsidRDefault="00E409ED" w:rsidP="00020050">
      <w:pPr>
        <w:spacing w:after="0"/>
      </w:pPr>
      <w:r>
        <w:t xml:space="preserve">Each Council provides unique services for their </w:t>
      </w:r>
      <w:r w:rsidR="00F8693E">
        <w:t>communities</w:t>
      </w:r>
      <w:r>
        <w:t xml:space="preserve"> as different communities have different priorities.</w:t>
      </w:r>
      <w:r w:rsidR="00F906A0">
        <w:t xml:space="preserve"> </w:t>
      </w:r>
      <w:r>
        <w:t xml:space="preserve"> Councils are therefore faced with the challenge</w:t>
      </w:r>
      <w:r w:rsidR="00F906A0">
        <w:t>s</w:t>
      </w:r>
      <w:r>
        <w:t xml:space="preserve"> </w:t>
      </w:r>
      <w:r w:rsidR="00F906A0">
        <w:t>of</w:t>
      </w:r>
      <w:r>
        <w:t>:</w:t>
      </w:r>
    </w:p>
    <w:p w14:paraId="22389C8F" w14:textId="4C5B7804" w:rsidR="00E409ED" w:rsidRDefault="00E409ED" w:rsidP="00020050">
      <w:pPr>
        <w:pStyle w:val="ListParagraph"/>
        <w:numPr>
          <w:ilvl w:val="0"/>
          <w:numId w:val="4"/>
        </w:numPr>
        <w:spacing w:before="240" w:after="0" w:line="276" w:lineRule="auto"/>
      </w:pPr>
      <w:r>
        <w:t>Establish</w:t>
      </w:r>
      <w:r w:rsidR="00F906A0">
        <w:t>ing</w:t>
      </w:r>
      <w:r>
        <w:t xml:space="preserve"> a level of </w:t>
      </w:r>
      <w:r w:rsidR="00F8693E">
        <w:t>infrastructure</w:t>
      </w:r>
      <w:r>
        <w:t xml:space="preserve"> and services for its community</w:t>
      </w:r>
    </w:p>
    <w:p w14:paraId="70DAE300" w14:textId="08538384" w:rsidR="00E409ED" w:rsidRDefault="00E409ED" w:rsidP="00020050">
      <w:pPr>
        <w:pStyle w:val="ListParagraph"/>
        <w:numPr>
          <w:ilvl w:val="0"/>
          <w:numId w:val="4"/>
        </w:numPr>
        <w:spacing w:after="0" w:line="276" w:lineRule="auto"/>
      </w:pPr>
      <w:r>
        <w:t>Equitably distribut</w:t>
      </w:r>
      <w:r w:rsidR="00F906A0">
        <w:t>ing</w:t>
      </w:r>
      <w:r>
        <w:t xml:space="preserve"> revenue raising that provide</w:t>
      </w:r>
      <w:r w:rsidR="00D101D3">
        <w:t>s</w:t>
      </w:r>
      <w:r>
        <w:t xml:space="preserve"> funding for </w:t>
      </w:r>
      <w:r w:rsidR="00F8693E">
        <w:t>infrastructure</w:t>
      </w:r>
      <w:r>
        <w:t xml:space="preserve"> and </w:t>
      </w:r>
      <w:r w:rsidR="00DD56DD">
        <w:t>services.</w:t>
      </w:r>
    </w:p>
    <w:p w14:paraId="18437B07" w14:textId="77777777" w:rsidR="00F8693E" w:rsidRDefault="00F8693E" w:rsidP="00020050">
      <w:pPr>
        <w:pStyle w:val="ListParagraph"/>
        <w:spacing w:after="0" w:line="276" w:lineRule="auto"/>
      </w:pPr>
    </w:p>
    <w:p w14:paraId="6FD3711D" w14:textId="58F25B1D" w:rsidR="00E409ED" w:rsidRDefault="00E409ED" w:rsidP="00020050">
      <w:r>
        <w:t>As each Council faces different circumstances and provide</w:t>
      </w:r>
      <w:r w:rsidR="0087000B">
        <w:t>s</w:t>
      </w:r>
      <w:r>
        <w:t xml:space="preserve"> </w:t>
      </w:r>
      <w:r w:rsidR="0087000B">
        <w:t>diverse</w:t>
      </w:r>
      <w:r>
        <w:t xml:space="preserve"> services to its community, it</w:t>
      </w:r>
      <w:r w:rsidR="0087000B">
        <w:t xml:space="preserve">s revenue requirements </w:t>
      </w:r>
      <w:r w:rsidR="00F906A0">
        <w:t>likely differ</w:t>
      </w:r>
      <w:r>
        <w:t xml:space="preserve"> from </w:t>
      </w:r>
      <w:r w:rsidR="00F906A0">
        <w:t xml:space="preserve">those of </w:t>
      </w:r>
      <w:r>
        <w:t>its neighbours.</w:t>
      </w:r>
      <w:r w:rsidR="00F906A0">
        <w:t xml:space="preserve"> </w:t>
      </w:r>
      <w:r>
        <w:t xml:space="preserve"> The capacity of each Council to raise revenue and </w:t>
      </w:r>
      <w:r w:rsidR="0087000B">
        <w:t>how</w:t>
      </w:r>
      <w:r>
        <w:t xml:space="preserve"> the ratepayers will share in providing the revenue will also be different in each Council.</w:t>
      </w:r>
    </w:p>
    <w:p w14:paraId="1DA760DF" w14:textId="0207E155" w:rsidR="00CC6D68" w:rsidRPr="00084C2B" w:rsidRDefault="00CC6D68" w:rsidP="008749D6">
      <w:pPr>
        <w:pStyle w:val="Heading2"/>
      </w:pPr>
      <w:bookmarkStart w:id="27" w:name="_Toc148095002"/>
      <w:r w:rsidRPr="00084C2B">
        <w:t>Nature of Council Rates</w:t>
      </w:r>
      <w:bookmarkEnd w:id="27"/>
    </w:p>
    <w:p w14:paraId="393BFDE4" w14:textId="1D15CDE7" w:rsidR="00E409ED" w:rsidRDefault="00E409ED" w:rsidP="00020050">
      <w:r>
        <w:t xml:space="preserve">Taxation is the </w:t>
      </w:r>
      <w:r w:rsidR="0087000B">
        <w:t>primary</w:t>
      </w:r>
      <w:r>
        <w:t xml:space="preserve"> source of revenue for Governments.</w:t>
      </w:r>
      <w:r w:rsidR="00F906A0">
        <w:t xml:space="preserve"> </w:t>
      </w:r>
      <w:r>
        <w:t xml:space="preserve"> Councils are responsible for raising their revenue </w:t>
      </w:r>
      <w:r w:rsidR="0087000B">
        <w:t>through</w:t>
      </w:r>
      <w:r>
        <w:t xml:space="preserve"> property taxation (Rates) and user charges as prescribed by legislation.</w:t>
      </w:r>
      <w:r w:rsidR="00F906A0">
        <w:t xml:space="preserve"> </w:t>
      </w:r>
      <w:r>
        <w:t xml:space="preserve"> Councils also receive Government </w:t>
      </w:r>
      <w:r w:rsidR="00A66FCC">
        <w:t xml:space="preserve">grant </w:t>
      </w:r>
      <w:r>
        <w:t xml:space="preserve">funding.  </w:t>
      </w:r>
    </w:p>
    <w:p w14:paraId="4A225602" w14:textId="191ADF6D" w:rsidR="00DA2AEC" w:rsidRDefault="0087000B" w:rsidP="00020050">
      <w:r>
        <w:t>Rates are a tax against the value of a property.</w:t>
      </w:r>
      <w:r w:rsidR="00F906A0">
        <w:t xml:space="preserve"> </w:t>
      </w:r>
      <w:r>
        <w:t xml:space="preserve"> The principle is that the more property, or the higher the property</w:t>
      </w:r>
      <w:r w:rsidR="00F906A0">
        <w:t>'</w:t>
      </w:r>
      <w:r>
        <w:t>s value, the more you should pay.</w:t>
      </w:r>
      <w:r w:rsidR="00F906A0">
        <w:t xml:space="preserve"> </w:t>
      </w:r>
      <w:r>
        <w:t xml:space="preserve"> Many ratepayers will question the value they individually receive from the</w:t>
      </w:r>
      <w:r w:rsidR="00EE687F">
        <w:t>ir rates</w:t>
      </w:r>
      <w:r>
        <w:t>; however, rates are raised as a form of taxation for services for the whole communit</w:t>
      </w:r>
      <w:r w:rsidR="00E409ED">
        <w:t xml:space="preserve">y.  </w:t>
      </w:r>
    </w:p>
    <w:p w14:paraId="6BF69416" w14:textId="15D2722F" w:rsidR="00DA2AEC" w:rsidRDefault="00E409ED" w:rsidP="00020050">
      <w:r>
        <w:t xml:space="preserve">One problem with a </w:t>
      </w:r>
      <w:r w:rsidR="00DA2AEC">
        <w:t>property</w:t>
      </w:r>
      <w:r>
        <w:t xml:space="preserve"> tax is that someone </w:t>
      </w:r>
      <w:r w:rsidR="0087000B">
        <w:t>who owns a property with</w:t>
      </w:r>
      <w:r>
        <w:t xml:space="preserve"> a high value may not have the income to pay a higher level of tax</w:t>
      </w:r>
      <w:r w:rsidR="0087000B">
        <w:t>ation</w:t>
      </w:r>
      <w:r w:rsidR="00DA2AEC">
        <w:t>.</w:t>
      </w:r>
      <w:r w:rsidR="00F906A0">
        <w:t xml:space="preserve"> </w:t>
      </w:r>
      <w:r w:rsidR="00DA2AEC">
        <w:t xml:space="preserve"> To address this</w:t>
      </w:r>
      <w:r w:rsidR="00A66FCC">
        <w:t>,</w:t>
      </w:r>
      <w:r w:rsidR="00DA2AEC">
        <w:t xml:space="preserve"> </w:t>
      </w:r>
      <w:r w:rsidR="00A66FCC">
        <w:t>Councils</w:t>
      </w:r>
      <w:r w:rsidR="00DA2AEC">
        <w:t xml:space="preserve"> have hardship policies that can be used to assist ratepayers who find it difficult to pay their rates.</w:t>
      </w:r>
    </w:p>
    <w:p w14:paraId="6EE156E4" w14:textId="41DA6F7A" w:rsidR="00CC6D68" w:rsidRPr="00084C2B" w:rsidRDefault="00CC6D68" w:rsidP="008749D6">
      <w:pPr>
        <w:pStyle w:val="Heading2"/>
      </w:pPr>
      <w:bookmarkStart w:id="28" w:name="_Toc148095003"/>
      <w:r w:rsidRPr="00084C2B">
        <w:t>Principles of Taxation</w:t>
      </w:r>
      <w:bookmarkEnd w:id="28"/>
    </w:p>
    <w:p w14:paraId="55CF5A6B" w14:textId="45733E81" w:rsidR="00E409ED" w:rsidRDefault="00E409ED" w:rsidP="00A66FCC">
      <w:r>
        <w:t>When setting taxes, Governments and Councils need to be mindful of the principles of taxation.</w:t>
      </w:r>
      <w:r w:rsidR="00F906A0">
        <w:t xml:space="preserve"> </w:t>
      </w:r>
      <w:r>
        <w:t xml:space="preserve"> The principles are:</w:t>
      </w:r>
    </w:p>
    <w:p w14:paraId="0ECCA2CD" w14:textId="7131B500" w:rsidR="00E409ED" w:rsidRDefault="0087000B" w:rsidP="00471175">
      <w:pPr>
        <w:pStyle w:val="ListParagraph"/>
        <w:numPr>
          <w:ilvl w:val="0"/>
          <w:numId w:val="5"/>
        </w:numPr>
        <w:spacing w:after="200" w:line="276" w:lineRule="auto"/>
      </w:pPr>
      <w:r>
        <w:t>E</w:t>
      </w:r>
      <w:r w:rsidR="00E409ED" w:rsidRPr="00FD1DDA">
        <w:t xml:space="preserve">quity – taxpayers with the same income pay the same tax (horizontal equity), </w:t>
      </w:r>
      <w:r>
        <w:t xml:space="preserve">and </w:t>
      </w:r>
      <w:r w:rsidR="00E409ED" w:rsidRPr="00FD1DDA">
        <w:t>wealthier taxpayers pay more tax (vertical equity)</w:t>
      </w:r>
      <w:r w:rsidR="00DA2AEC">
        <w:t>.</w:t>
      </w:r>
      <w:r w:rsidR="00F906A0">
        <w:t xml:space="preserve"> </w:t>
      </w:r>
      <w:r w:rsidR="00DA2AEC">
        <w:t xml:space="preserve"> With </w:t>
      </w:r>
      <w:r>
        <w:t>r</w:t>
      </w:r>
      <w:r w:rsidR="00DA2AEC">
        <w:t>ating</w:t>
      </w:r>
      <w:r>
        <w:t>,</w:t>
      </w:r>
      <w:r w:rsidR="00DA2AEC">
        <w:t xml:space="preserve"> this means those </w:t>
      </w:r>
      <w:r>
        <w:t>with</w:t>
      </w:r>
      <w:r w:rsidR="00DA2AEC">
        <w:t xml:space="preserve"> higher</w:t>
      </w:r>
      <w:r>
        <w:t>-</w:t>
      </w:r>
      <w:r w:rsidR="00DA2AEC">
        <w:t>valued properties pay more rates.</w:t>
      </w:r>
    </w:p>
    <w:p w14:paraId="5B8E4379" w14:textId="1AF9AE8C" w:rsidR="00E409ED" w:rsidRDefault="0087000B" w:rsidP="00471175">
      <w:pPr>
        <w:pStyle w:val="ListParagraph"/>
        <w:numPr>
          <w:ilvl w:val="0"/>
          <w:numId w:val="5"/>
        </w:numPr>
        <w:spacing w:after="200" w:line="276" w:lineRule="auto"/>
      </w:pPr>
      <w:r>
        <w:t>B</w:t>
      </w:r>
      <w:r w:rsidR="00E409ED" w:rsidRPr="00FD1DDA">
        <w:t>enefit – taxpayers should receive some benefit from paying tax, but not necessarily to the extent of the tax paid</w:t>
      </w:r>
      <w:r w:rsidR="00DA2AEC">
        <w:t>.</w:t>
      </w:r>
      <w:r w:rsidR="00F906A0">
        <w:t xml:space="preserve"> </w:t>
      </w:r>
      <w:r w:rsidR="00DA2AEC">
        <w:t xml:space="preserve"> The community should receive the benefit from the tax.</w:t>
      </w:r>
    </w:p>
    <w:p w14:paraId="7BBF7137" w14:textId="6DF89412" w:rsidR="00E409ED" w:rsidRDefault="0087000B" w:rsidP="00471175">
      <w:pPr>
        <w:pStyle w:val="ListParagraph"/>
        <w:numPr>
          <w:ilvl w:val="0"/>
          <w:numId w:val="5"/>
        </w:numPr>
        <w:spacing w:after="200" w:line="276" w:lineRule="auto"/>
      </w:pPr>
      <w:r>
        <w:t>A</w:t>
      </w:r>
      <w:r w:rsidR="00E409ED" w:rsidRPr="00FD1DDA">
        <w:t>bility-to-pay – in levying taxes</w:t>
      </w:r>
      <w:r>
        <w:t>,</w:t>
      </w:r>
      <w:r w:rsidR="00E409ED" w:rsidRPr="00FD1DDA">
        <w:t xml:space="preserve"> the ability of the taxpayer to pay the tax must be </w:t>
      </w:r>
      <w:r w:rsidR="005A5B4A" w:rsidRPr="00FD1DDA">
        <w:t>considered</w:t>
      </w:r>
      <w:r w:rsidR="00E409ED" w:rsidRPr="00FD1DDA">
        <w:t xml:space="preserve">; </w:t>
      </w:r>
    </w:p>
    <w:p w14:paraId="7A673946" w14:textId="5428AC6A" w:rsidR="00E409ED" w:rsidRDefault="0087000B" w:rsidP="00471175">
      <w:pPr>
        <w:pStyle w:val="ListParagraph"/>
        <w:numPr>
          <w:ilvl w:val="0"/>
          <w:numId w:val="5"/>
        </w:numPr>
        <w:spacing w:after="200" w:line="276" w:lineRule="auto"/>
      </w:pPr>
      <w:r>
        <w:t>E</w:t>
      </w:r>
      <w:r w:rsidR="00E409ED" w:rsidRPr="00FD1DDA">
        <w:t xml:space="preserve">fficiency – if a tax is designed to change </w:t>
      </w:r>
      <w:r w:rsidR="005A5B4A" w:rsidRPr="00FD1DDA">
        <w:t>consumers</w:t>
      </w:r>
      <w:r w:rsidR="00F906A0">
        <w:t>'</w:t>
      </w:r>
      <w:r w:rsidR="00E409ED" w:rsidRPr="00FD1DDA">
        <w:t xml:space="preserve"> behaviour and the behaviour changes, the tax is efficient (</w:t>
      </w:r>
      <w:r w:rsidR="00DD56DD" w:rsidRPr="00FD1DDA">
        <w:t>e.g.,</w:t>
      </w:r>
      <w:r w:rsidR="00E409ED" w:rsidRPr="00FD1DDA">
        <w:t xml:space="preserve"> tobacco taxes)</w:t>
      </w:r>
      <w:r>
        <w:t>.</w:t>
      </w:r>
      <w:r w:rsidR="00F906A0">
        <w:t xml:space="preserve"> </w:t>
      </w:r>
      <w:r>
        <w:t xml:space="preserve"> I</w:t>
      </w:r>
      <w:r w:rsidR="00E409ED" w:rsidRPr="00FD1DDA">
        <w:t xml:space="preserve">f a tax is </w:t>
      </w:r>
      <w:r>
        <w:t>intend</w:t>
      </w:r>
      <w:r w:rsidR="00E409ED" w:rsidRPr="00FD1DDA">
        <w:t xml:space="preserve">ed to be neutral in its effect on taxpayers and it changes </w:t>
      </w:r>
      <w:r w:rsidR="005A5B4A" w:rsidRPr="00FD1DDA">
        <w:t>taxpayers</w:t>
      </w:r>
      <w:r w:rsidR="00F906A0">
        <w:t>'</w:t>
      </w:r>
      <w:r w:rsidR="00E409ED" w:rsidRPr="00FD1DDA">
        <w:t xml:space="preserve"> behaviour</w:t>
      </w:r>
      <w:r>
        <w:t>,</w:t>
      </w:r>
      <w:r w:rsidR="00E409ED" w:rsidRPr="00FD1DDA">
        <w:t xml:space="preserve"> the tax is inefficient and </w:t>
      </w:r>
    </w:p>
    <w:p w14:paraId="650D1AA7" w14:textId="77777777" w:rsidR="00E409ED" w:rsidRDefault="00E409ED" w:rsidP="00471175">
      <w:pPr>
        <w:pStyle w:val="ListParagraph"/>
        <w:numPr>
          <w:ilvl w:val="0"/>
          <w:numId w:val="5"/>
        </w:numPr>
        <w:spacing w:after="200" w:line="276" w:lineRule="auto"/>
      </w:pPr>
      <w:r w:rsidRPr="00FD1DDA">
        <w:t>Simplicity – the tax must b</w:t>
      </w:r>
      <w:r>
        <w:t>e understandable, hard to avoid and</w:t>
      </w:r>
      <w:r w:rsidRPr="00FD1DDA">
        <w:t xml:space="preserve"> easy to collect.</w:t>
      </w:r>
    </w:p>
    <w:p w14:paraId="42C46BFC" w14:textId="4EE563AB" w:rsidR="00E409ED" w:rsidRPr="00FD1DDA" w:rsidRDefault="00E409ED" w:rsidP="00020050">
      <w:r>
        <w:lastRenderedPageBreak/>
        <w:t>To some extent</w:t>
      </w:r>
      <w:r w:rsidR="0087000B">
        <w:t>,</w:t>
      </w:r>
      <w:r>
        <w:t xml:space="preserve"> these principles </w:t>
      </w:r>
      <w:r w:rsidR="005A5B4A">
        <w:t>conflict with</w:t>
      </w:r>
      <w:r>
        <w:t xml:space="preserve"> each other.</w:t>
      </w:r>
      <w:r w:rsidR="00F906A0">
        <w:t xml:space="preserve"> </w:t>
      </w:r>
      <w:r>
        <w:t xml:space="preserve"> Governments and Councils must balance the application of the principles, the policy objectives of taxation, the need to raise revenue and the effects of the tax on the community.</w:t>
      </w:r>
    </w:p>
    <w:p w14:paraId="046F6AEE" w14:textId="77777777" w:rsidR="00CC6D68" w:rsidRPr="00DA2A8F" w:rsidRDefault="00CC6D68" w:rsidP="00DA2A8F">
      <w:pPr>
        <w:pStyle w:val="Heading1"/>
      </w:pPr>
      <w:bookmarkStart w:id="29" w:name="_Toc148095004"/>
      <w:r w:rsidRPr="00DA2A8F">
        <w:t>Legislative Framework for Setting Council Rates</w:t>
      </w:r>
      <w:bookmarkEnd w:id="29"/>
    </w:p>
    <w:p w14:paraId="4165F1C5" w14:textId="73B5F74E" w:rsidR="00E409ED" w:rsidRPr="005C22BC" w:rsidRDefault="00E409ED" w:rsidP="00020050">
      <w:pPr>
        <w:rPr>
          <w:color w:val="2E74B5" w:themeColor="accent1" w:themeShade="BF"/>
        </w:rPr>
      </w:pPr>
      <w:r>
        <w:t xml:space="preserve">The </w:t>
      </w:r>
      <w:r w:rsidR="00AF3409" w:rsidRPr="00CF61D7">
        <w:t>Act</w:t>
      </w:r>
      <w:r w:rsidR="00AF3409">
        <w:rPr>
          <w:i/>
          <w:iCs/>
        </w:rPr>
        <w:t xml:space="preserve"> </w:t>
      </w:r>
      <w:r>
        <w:t xml:space="preserve">sets out the framework of </w:t>
      </w:r>
      <w:r w:rsidR="0087000B">
        <w:t>R</w:t>
      </w:r>
      <w:r>
        <w:t>ating for Councils.</w:t>
      </w:r>
      <w:r w:rsidR="00F906A0">
        <w:t xml:space="preserve"> </w:t>
      </w:r>
      <w:r>
        <w:t xml:space="preserve"> The Act</w:t>
      </w:r>
      <w:r w:rsidR="005C22BC">
        <w:t xml:space="preserve"> can be accessed at </w:t>
      </w:r>
      <w:r w:rsidR="00DD56DD" w:rsidRPr="005C22BC">
        <w:rPr>
          <w:color w:val="2E74B5" w:themeColor="accent1" w:themeShade="BF"/>
        </w:rPr>
        <w:t>https://www.legislation.sa.gov.au</w:t>
      </w:r>
      <w:r w:rsidR="00EE687F">
        <w:rPr>
          <w:color w:val="2E74B5" w:themeColor="accent1" w:themeShade="BF"/>
        </w:rPr>
        <w:t>.</w:t>
      </w:r>
    </w:p>
    <w:p w14:paraId="7EF8ED14" w14:textId="50D97BFD" w:rsidR="00E409ED" w:rsidRDefault="00E409ED" w:rsidP="00020050">
      <w:r>
        <w:t xml:space="preserve">The legislation outlines the following topics </w:t>
      </w:r>
      <w:r w:rsidR="00F906A0">
        <w:t>that</w:t>
      </w:r>
      <w:r>
        <w:t xml:space="preserve"> are relevant for </w:t>
      </w:r>
      <w:r w:rsidR="0087000B">
        <w:t xml:space="preserve">the </w:t>
      </w:r>
      <w:r>
        <w:t xml:space="preserve">Council when considering changing its basis of </w:t>
      </w:r>
      <w:r w:rsidR="0087000B">
        <w:t>r</w:t>
      </w:r>
      <w:r>
        <w:t>ating.</w:t>
      </w:r>
    </w:p>
    <w:p w14:paraId="2EAC024A" w14:textId="77777777" w:rsidR="005C22BC" w:rsidRPr="00137FB5" w:rsidRDefault="005C22BC" w:rsidP="00020050">
      <w:pPr>
        <w:spacing w:after="0"/>
        <w:rPr>
          <w:b/>
        </w:rPr>
      </w:pPr>
      <w:r w:rsidRPr="00137FB5">
        <w:rPr>
          <w:b/>
        </w:rPr>
        <w:t>Chapter 10 – Rates and Charges</w:t>
      </w:r>
    </w:p>
    <w:p w14:paraId="17E0ABA0" w14:textId="77777777" w:rsidR="005C22BC" w:rsidRPr="00137FB5" w:rsidRDefault="005C22BC" w:rsidP="00471175">
      <w:pPr>
        <w:pStyle w:val="ListParagraph"/>
        <w:numPr>
          <w:ilvl w:val="0"/>
          <w:numId w:val="6"/>
        </w:numPr>
        <w:spacing w:after="0" w:line="276" w:lineRule="auto"/>
        <w:rPr>
          <w:b/>
        </w:rPr>
      </w:pPr>
      <w:r w:rsidRPr="00137FB5">
        <w:rPr>
          <w:b/>
        </w:rPr>
        <w:t>Part 1 – Rates and charges on land</w:t>
      </w:r>
    </w:p>
    <w:p w14:paraId="2124CB54" w14:textId="77777777" w:rsidR="005C22BC" w:rsidRPr="00FA6968" w:rsidRDefault="005C22BC" w:rsidP="00471175">
      <w:pPr>
        <w:pStyle w:val="ListParagraph"/>
        <w:numPr>
          <w:ilvl w:val="1"/>
          <w:numId w:val="6"/>
        </w:numPr>
        <w:spacing w:after="0" w:line="276" w:lineRule="auto"/>
      </w:pPr>
      <w:r w:rsidRPr="00FA6968">
        <w:t>Division 1 - Preliminary</w:t>
      </w:r>
    </w:p>
    <w:p w14:paraId="1B9923D1" w14:textId="0FEEFFCE" w:rsidR="005C22BC" w:rsidRPr="00FA6968" w:rsidRDefault="005C22BC" w:rsidP="00471175">
      <w:pPr>
        <w:pStyle w:val="ListParagraph"/>
        <w:numPr>
          <w:ilvl w:val="1"/>
          <w:numId w:val="6"/>
        </w:numPr>
        <w:spacing w:after="0" w:line="276" w:lineRule="auto"/>
      </w:pPr>
      <w:r w:rsidRPr="00FA6968">
        <w:t xml:space="preserve">Division 2 – Basis of </w:t>
      </w:r>
      <w:r w:rsidR="0087000B">
        <w:t>R</w:t>
      </w:r>
      <w:r w:rsidRPr="00FA6968">
        <w:t>ating</w:t>
      </w:r>
    </w:p>
    <w:p w14:paraId="5CFFDBA5" w14:textId="77777777" w:rsidR="005C22BC" w:rsidRPr="00FA6968" w:rsidRDefault="005C22BC" w:rsidP="00471175">
      <w:pPr>
        <w:pStyle w:val="ListParagraph"/>
        <w:numPr>
          <w:ilvl w:val="1"/>
          <w:numId w:val="6"/>
        </w:numPr>
        <w:spacing w:after="0" w:line="276" w:lineRule="auto"/>
      </w:pPr>
      <w:r w:rsidRPr="00FA6968">
        <w:t>Division 3 – Specific characteristics of rates and charges</w:t>
      </w:r>
    </w:p>
    <w:p w14:paraId="5E9A3729" w14:textId="77777777" w:rsidR="005C22BC" w:rsidRPr="00FA6968" w:rsidRDefault="005C22BC" w:rsidP="00471175">
      <w:pPr>
        <w:pStyle w:val="ListParagraph"/>
        <w:numPr>
          <w:ilvl w:val="1"/>
          <w:numId w:val="6"/>
        </w:numPr>
        <w:spacing w:after="0" w:line="276" w:lineRule="auto"/>
      </w:pPr>
      <w:r w:rsidRPr="00FA6968">
        <w:t>Division 4 – Differential rating and special adjustments</w:t>
      </w:r>
    </w:p>
    <w:p w14:paraId="5D430126" w14:textId="77777777" w:rsidR="005C22BC" w:rsidRPr="00FA6968" w:rsidRDefault="005C22BC" w:rsidP="00471175">
      <w:pPr>
        <w:pStyle w:val="ListParagraph"/>
        <w:numPr>
          <w:ilvl w:val="1"/>
          <w:numId w:val="6"/>
        </w:numPr>
        <w:spacing w:after="0" w:line="276" w:lineRule="auto"/>
      </w:pPr>
      <w:r w:rsidRPr="00FA6968">
        <w:t>Division 5 – Rebates of rates</w:t>
      </w:r>
    </w:p>
    <w:p w14:paraId="6E90062A" w14:textId="24F772F8" w:rsidR="005C22BC" w:rsidRDefault="005C22BC" w:rsidP="00471175">
      <w:pPr>
        <w:pStyle w:val="ListParagraph"/>
        <w:numPr>
          <w:ilvl w:val="1"/>
          <w:numId w:val="6"/>
        </w:numPr>
        <w:spacing w:after="0" w:line="276" w:lineRule="auto"/>
      </w:pPr>
      <w:r w:rsidRPr="00FA6968">
        <w:t xml:space="preserve">Division 6 – Valuation of land for the purpose of </w:t>
      </w:r>
      <w:r w:rsidR="0087000B">
        <w:t>r</w:t>
      </w:r>
      <w:r w:rsidRPr="00FA6968">
        <w:t>ating</w:t>
      </w:r>
    </w:p>
    <w:p w14:paraId="5C6F0FD0" w14:textId="38CD2CD4" w:rsidR="00DA2AEC" w:rsidRDefault="00DA2AEC" w:rsidP="00DA2AEC">
      <w:pPr>
        <w:pStyle w:val="ListParagraph"/>
        <w:spacing w:after="0" w:line="276" w:lineRule="auto"/>
        <w:ind w:left="0"/>
      </w:pPr>
    </w:p>
    <w:p w14:paraId="7DA4952C" w14:textId="6412FB8D" w:rsidR="00DA2AEC" w:rsidRDefault="00DA2AEC" w:rsidP="00DA2AEC">
      <w:pPr>
        <w:pStyle w:val="ListParagraph"/>
        <w:spacing w:after="0" w:line="276" w:lineRule="auto"/>
        <w:ind w:left="0"/>
      </w:pPr>
      <w:r>
        <w:t xml:space="preserve">Section 151(2) of the </w:t>
      </w:r>
      <w:r w:rsidR="00AF3409" w:rsidRPr="00CF61D7">
        <w:t>Act</w:t>
      </w:r>
      <w:r>
        <w:t xml:space="preserve"> sets out that the value of the land for the purpose of </w:t>
      </w:r>
      <w:r w:rsidR="0087000B">
        <w:t>r</w:t>
      </w:r>
      <w:r>
        <w:t>ating is its capital value.</w:t>
      </w:r>
    </w:p>
    <w:p w14:paraId="2AEB8B84" w14:textId="77777777" w:rsidR="00BE0B45" w:rsidRDefault="00BE0B45" w:rsidP="00DA2AEC">
      <w:pPr>
        <w:pStyle w:val="ListParagraph"/>
        <w:spacing w:after="0" w:line="276" w:lineRule="auto"/>
        <w:ind w:left="0"/>
      </w:pPr>
    </w:p>
    <w:p w14:paraId="181F6417" w14:textId="07E49DA9" w:rsidR="00BE0B45" w:rsidRPr="00DA2AEC" w:rsidRDefault="00BE0B45" w:rsidP="00DA2AEC">
      <w:pPr>
        <w:pStyle w:val="ListParagraph"/>
        <w:spacing w:after="0" w:line="276" w:lineRule="auto"/>
        <w:ind w:left="0"/>
      </w:pPr>
      <w:r>
        <w:t>Section 151(3) allows Councils to declare rates on site value</w:t>
      </w:r>
      <w:r w:rsidR="0087000B">
        <w:t>,</w:t>
      </w:r>
      <w:r>
        <w:t xml:space="preserve"> but the reference to site value will be removed from the Act.</w:t>
      </w:r>
    </w:p>
    <w:p w14:paraId="264960A9" w14:textId="77777777" w:rsidR="00CC6D68" w:rsidRPr="00DA2A8F" w:rsidRDefault="00CC6D68" w:rsidP="00DA2A8F">
      <w:pPr>
        <w:pStyle w:val="Heading1"/>
      </w:pPr>
      <w:bookmarkStart w:id="30" w:name="_Toc148095005"/>
      <w:r w:rsidRPr="00DA2A8F">
        <w:t>Rating Options Available</w:t>
      </w:r>
      <w:bookmarkEnd w:id="30"/>
    </w:p>
    <w:p w14:paraId="680E0058" w14:textId="1ABD3C8C" w:rsidR="005C22BC" w:rsidRDefault="005C22BC" w:rsidP="00020050">
      <w:pPr>
        <w:spacing w:after="0"/>
      </w:pPr>
      <w:r>
        <w:t xml:space="preserve">There are </w:t>
      </w:r>
      <w:r w:rsidR="005A5B4A">
        <w:t>several</w:t>
      </w:r>
      <w:r>
        <w:t xml:space="preserve"> alternative rating options available under the Act.</w:t>
      </w:r>
      <w:r w:rsidR="00F906A0">
        <w:t xml:space="preserve"> </w:t>
      </w:r>
      <w:r>
        <w:t xml:space="preserve"> The options that can be considered are:</w:t>
      </w:r>
    </w:p>
    <w:p w14:paraId="7C301EB6" w14:textId="77777777" w:rsidR="005C22BC" w:rsidRDefault="005C22BC" w:rsidP="00471175">
      <w:pPr>
        <w:pStyle w:val="ListParagraph"/>
        <w:numPr>
          <w:ilvl w:val="0"/>
          <w:numId w:val="7"/>
        </w:numPr>
        <w:spacing w:before="240" w:after="200" w:line="276" w:lineRule="auto"/>
      </w:pPr>
      <w:r>
        <w:t>A General Rate</w:t>
      </w:r>
    </w:p>
    <w:p w14:paraId="5D1717CA" w14:textId="68811078" w:rsidR="005C22BC" w:rsidRDefault="005C22BC" w:rsidP="00471175">
      <w:pPr>
        <w:pStyle w:val="ListParagraph"/>
        <w:numPr>
          <w:ilvl w:val="0"/>
          <w:numId w:val="7"/>
        </w:numPr>
        <w:spacing w:after="200" w:line="276" w:lineRule="auto"/>
      </w:pPr>
      <w:r>
        <w:t>A Differential  Rate</w:t>
      </w:r>
    </w:p>
    <w:p w14:paraId="59F87AF8" w14:textId="77777777" w:rsidR="005C22BC" w:rsidRDefault="005C22BC" w:rsidP="00471175">
      <w:pPr>
        <w:pStyle w:val="ListParagraph"/>
        <w:numPr>
          <w:ilvl w:val="0"/>
          <w:numId w:val="7"/>
        </w:numPr>
        <w:spacing w:after="200" w:line="276" w:lineRule="auto"/>
      </w:pPr>
      <w:r>
        <w:t>Fixed Charge</w:t>
      </w:r>
    </w:p>
    <w:p w14:paraId="2C926D16" w14:textId="77777777" w:rsidR="005C22BC" w:rsidRDefault="005C22BC" w:rsidP="00471175">
      <w:pPr>
        <w:pStyle w:val="ListParagraph"/>
        <w:numPr>
          <w:ilvl w:val="0"/>
          <w:numId w:val="7"/>
        </w:numPr>
        <w:spacing w:after="200" w:line="276" w:lineRule="auto"/>
      </w:pPr>
      <w:r>
        <w:t>Minimum Rate</w:t>
      </w:r>
    </w:p>
    <w:p w14:paraId="417A48BE" w14:textId="77777777" w:rsidR="005C22BC" w:rsidRDefault="005C22BC" w:rsidP="00471175">
      <w:pPr>
        <w:pStyle w:val="ListParagraph"/>
        <w:numPr>
          <w:ilvl w:val="0"/>
          <w:numId w:val="7"/>
        </w:numPr>
        <w:spacing w:after="200" w:line="276" w:lineRule="auto"/>
      </w:pPr>
      <w:r>
        <w:t>Separate Rates</w:t>
      </w:r>
    </w:p>
    <w:p w14:paraId="0B456FED" w14:textId="442570F6" w:rsidR="005C22BC" w:rsidRDefault="005C22BC" w:rsidP="00020050">
      <w:r>
        <w:t xml:space="preserve">All rating options provide different ways </w:t>
      </w:r>
      <w:r w:rsidR="0087000B">
        <w:t>to distribute the cost of running the Council</w:t>
      </w:r>
      <w:r w:rsidR="00020050">
        <w:t xml:space="preserve"> among ratepayers</w:t>
      </w:r>
      <w:r>
        <w:t>.</w:t>
      </w:r>
      <w:r w:rsidR="00F906A0">
        <w:t xml:space="preserve"> </w:t>
      </w:r>
      <w:r>
        <w:t xml:space="preserve"> Councils need to consider the profile and issues of their communities and determine the method that distributes the rates tax burden in the most appropriate manner for their community.</w:t>
      </w:r>
    </w:p>
    <w:p w14:paraId="233840C1" w14:textId="1F883D72" w:rsidR="00BC1E4B" w:rsidRDefault="00BC1E4B" w:rsidP="00020050">
      <w:r>
        <w:t>The following areas of this section explain how rates are calculated and how different rating options work.</w:t>
      </w:r>
    </w:p>
    <w:p w14:paraId="64D68D0F" w14:textId="5B7843A3" w:rsidR="00BC1E4B" w:rsidRDefault="00BC1E4B" w:rsidP="008749D6">
      <w:pPr>
        <w:pStyle w:val="Heading2"/>
      </w:pPr>
      <w:bookmarkStart w:id="31" w:name="_Toc148095006"/>
      <w:r>
        <w:t>How Rates are Calculated</w:t>
      </w:r>
      <w:bookmarkEnd w:id="31"/>
    </w:p>
    <w:p w14:paraId="4D52DB1D" w14:textId="78F51250" w:rsidR="00BC1E4B" w:rsidRDefault="00030011" w:rsidP="00020050">
      <w:r>
        <w:t>The example below show</w:t>
      </w:r>
      <w:r w:rsidR="00F906A0">
        <w:t>s</w:t>
      </w:r>
      <w:r>
        <w:t xml:space="preserve"> how rates are calculated when a Council uses a Fixed Charge.</w:t>
      </w:r>
    </w:p>
    <w:p w14:paraId="20824E43" w14:textId="1525833D" w:rsidR="00030011" w:rsidRDefault="00030011" w:rsidP="00020050">
      <w:r>
        <w:t>Example:</w:t>
      </w:r>
    </w:p>
    <w:p w14:paraId="281CD462" w14:textId="30EE6F0A" w:rsidR="00E70960" w:rsidRDefault="00BC1E4B" w:rsidP="00E70960">
      <w:pPr>
        <w:numPr>
          <w:ilvl w:val="0"/>
          <w:numId w:val="21"/>
        </w:numPr>
        <w:spacing w:after="0"/>
      </w:pPr>
      <w:r>
        <w:t xml:space="preserve">A council needs to raise </w:t>
      </w:r>
      <w:r w:rsidR="00E70960">
        <w:t>rates</w:t>
      </w:r>
      <w:r w:rsidR="00F906A0">
        <w:t xml:space="preserve"> of</w:t>
      </w:r>
      <w:r w:rsidR="00E70960">
        <w:tab/>
      </w:r>
      <w:r w:rsidR="00E70960">
        <w:tab/>
      </w:r>
      <w:r w:rsidR="00E70960">
        <w:tab/>
      </w:r>
      <w:r w:rsidR="00E70960">
        <w:tab/>
      </w:r>
      <w:r w:rsidR="00E70960">
        <w:tab/>
        <w:t xml:space="preserve">        </w:t>
      </w:r>
      <w:r>
        <w:t>$</w:t>
      </w:r>
      <w:r w:rsidR="000E68F7">
        <w:t>5</w:t>
      </w:r>
      <w:r w:rsidR="00E70960">
        <w:t xml:space="preserve">,000,000 </w:t>
      </w:r>
    </w:p>
    <w:p w14:paraId="4E815C66" w14:textId="654EEADD" w:rsidR="00BC1E4B" w:rsidRDefault="00BC1E4B" w:rsidP="0087000B">
      <w:pPr>
        <w:numPr>
          <w:ilvl w:val="0"/>
          <w:numId w:val="21"/>
        </w:numPr>
        <w:spacing w:after="0"/>
      </w:pPr>
      <w:r>
        <w:t>The value of all the</w:t>
      </w:r>
      <w:r w:rsidR="00E70960">
        <w:t xml:space="preserve"> rateable</w:t>
      </w:r>
      <w:r>
        <w:t xml:space="preserve"> properties in the </w:t>
      </w:r>
      <w:r w:rsidR="0087000B">
        <w:t>C</w:t>
      </w:r>
      <w:r>
        <w:t xml:space="preserve">ouncil is </w:t>
      </w:r>
      <w:r w:rsidR="00E70960">
        <w:tab/>
      </w:r>
      <w:r w:rsidR="00E70960">
        <w:tab/>
      </w:r>
      <w:r>
        <w:t>$</w:t>
      </w:r>
      <w:r w:rsidR="00E70960">
        <w:t>2,000,000,000</w:t>
      </w:r>
    </w:p>
    <w:p w14:paraId="309CD32F" w14:textId="5CA779F2" w:rsidR="00E70960" w:rsidRDefault="00E70960" w:rsidP="0087000B">
      <w:pPr>
        <w:numPr>
          <w:ilvl w:val="0"/>
          <w:numId w:val="21"/>
        </w:numPr>
        <w:spacing w:after="0"/>
      </w:pPr>
      <w:r>
        <w:lastRenderedPageBreak/>
        <w:t>Council Charges a Fixed Charge of                                                                           $775</w:t>
      </w:r>
    </w:p>
    <w:p w14:paraId="75E510F3" w14:textId="6229A2EA" w:rsidR="00E70960" w:rsidRDefault="00E70960" w:rsidP="0087000B">
      <w:pPr>
        <w:numPr>
          <w:ilvl w:val="0"/>
          <w:numId w:val="21"/>
        </w:numPr>
        <w:spacing w:after="0"/>
      </w:pPr>
      <w:r>
        <w:t xml:space="preserve">The number of properties that pay a </w:t>
      </w:r>
      <w:r w:rsidR="00F906A0">
        <w:t>F</w:t>
      </w:r>
      <w:r>
        <w:t xml:space="preserve">ixed </w:t>
      </w:r>
      <w:r w:rsidR="00F906A0">
        <w:t>C</w:t>
      </w:r>
      <w:r>
        <w:t>harge</w:t>
      </w:r>
      <w:r>
        <w:tab/>
        <w:t xml:space="preserve"> </w:t>
      </w:r>
      <w:r>
        <w:tab/>
      </w:r>
      <w:r>
        <w:tab/>
        <w:t xml:space="preserve">    1,900</w:t>
      </w:r>
    </w:p>
    <w:p w14:paraId="35480AC5" w14:textId="77777777" w:rsidR="00E70960" w:rsidRDefault="00E70960" w:rsidP="00E70960">
      <w:pPr>
        <w:spacing w:after="0"/>
      </w:pPr>
    </w:p>
    <w:p w14:paraId="0E92A4A6" w14:textId="17451DBE" w:rsidR="00E70960" w:rsidRDefault="00E70960" w:rsidP="00E70960">
      <w:pPr>
        <w:spacing w:after="0"/>
        <w:ind w:left="360"/>
      </w:pPr>
      <w:r>
        <w:t>Rates Raised from the Fixed Charge = 1,900 x 775</w:t>
      </w:r>
      <w:r>
        <w:tab/>
      </w:r>
      <w:r>
        <w:tab/>
      </w:r>
      <w:r>
        <w:tab/>
        <w:t xml:space="preserve">         $1,472,500</w:t>
      </w:r>
    </w:p>
    <w:p w14:paraId="03E245D5" w14:textId="77777777" w:rsidR="00E70960" w:rsidRDefault="00E70960" w:rsidP="00E70960">
      <w:pPr>
        <w:spacing w:after="0"/>
        <w:ind w:left="360"/>
      </w:pPr>
    </w:p>
    <w:p w14:paraId="2D9B7FCD" w14:textId="43F8EEC5" w:rsidR="00E70960" w:rsidRDefault="00E70960" w:rsidP="00E70960">
      <w:pPr>
        <w:spacing w:after="0"/>
        <w:ind w:left="360"/>
      </w:pPr>
      <w:r>
        <w:t>Council still needs to raise the remaining rates</w:t>
      </w:r>
      <w:r w:rsidR="00F906A0">
        <w:t>.</w:t>
      </w:r>
    </w:p>
    <w:p w14:paraId="320BFED6" w14:textId="77777777" w:rsidR="00E70960" w:rsidRDefault="00E70960" w:rsidP="00E70960">
      <w:pPr>
        <w:spacing w:after="0"/>
        <w:ind w:left="360"/>
      </w:pPr>
    </w:p>
    <w:p w14:paraId="19E7BE78" w14:textId="1BABCEB8" w:rsidR="00E70960" w:rsidRDefault="00E70960" w:rsidP="00E70960">
      <w:pPr>
        <w:spacing w:after="0"/>
        <w:ind w:left="360"/>
      </w:pPr>
      <w:r>
        <w:t xml:space="preserve">  i.e.  $5,000,000 rates needed less what has already been raised</w:t>
      </w:r>
    </w:p>
    <w:p w14:paraId="1E062B75" w14:textId="712D7BD8" w:rsidR="00E70960" w:rsidRDefault="00E70960" w:rsidP="00E70960">
      <w:pPr>
        <w:spacing w:after="0"/>
        <w:ind w:left="360"/>
      </w:pPr>
      <w:r>
        <w:t xml:space="preserve">  from the </w:t>
      </w:r>
      <w:r w:rsidR="00F906A0">
        <w:t>F</w:t>
      </w:r>
      <w:r>
        <w:t xml:space="preserve">ixed </w:t>
      </w:r>
      <w:r w:rsidR="00F906A0">
        <w:t>C</w:t>
      </w:r>
      <w:r>
        <w:t xml:space="preserve">harge.         $5,000,000 - $1,472,500 =  </w:t>
      </w:r>
      <w:r>
        <w:tab/>
      </w:r>
      <w:r>
        <w:tab/>
        <w:t xml:space="preserve">        $3,527,500</w:t>
      </w:r>
    </w:p>
    <w:p w14:paraId="2C4F29C4" w14:textId="77777777" w:rsidR="00E70960" w:rsidRDefault="00E70960" w:rsidP="00E70960">
      <w:pPr>
        <w:spacing w:after="0"/>
        <w:ind w:left="360"/>
      </w:pPr>
    </w:p>
    <w:p w14:paraId="08868B5E" w14:textId="3FECDF99" w:rsidR="00E70960" w:rsidRDefault="00E70960" w:rsidP="00E70960">
      <w:pPr>
        <w:spacing w:after="0"/>
        <w:ind w:left="360"/>
      </w:pPr>
      <w:r>
        <w:t>The rates still needed are divided by the value of the properties</w:t>
      </w:r>
      <w:r w:rsidR="00F906A0">
        <w:t>.</w:t>
      </w:r>
    </w:p>
    <w:p w14:paraId="4BDCC318" w14:textId="6D5621F6" w:rsidR="00E70960" w:rsidRDefault="00E70960" w:rsidP="00E70960">
      <w:pPr>
        <w:spacing w:after="0"/>
        <w:ind w:left="360"/>
      </w:pPr>
      <w:r>
        <w:t xml:space="preserve">  </w:t>
      </w:r>
    </w:p>
    <w:p w14:paraId="6C76198C" w14:textId="672B9D0A" w:rsidR="00E70960" w:rsidRDefault="00E70960" w:rsidP="00E70960">
      <w:pPr>
        <w:spacing w:after="0"/>
        <w:ind w:left="360"/>
      </w:pPr>
      <w:r>
        <w:t xml:space="preserve">  $3,527,500 divided by $2,000,000,000 = </w:t>
      </w:r>
      <w:r>
        <w:tab/>
      </w:r>
      <w:r>
        <w:tab/>
      </w:r>
      <w:r>
        <w:tab/>
      </w:r>
      <w:r>
        <w:tab/>
      </w:r>
      <w:r>
        <w:tab/>
        <w:t>.001764</w:t>
      </w:r>
    </w:p>
    <w:p w14:paraId="69701995" w14:textId="77777777" w:rsidR="00E70960" w:rsidRDefault="00E70960" w:rsidP="00E70960">
      <w:pPr>
        <w:spacing w:after="0"/>
        <w:ind w:left="360"/>
      </w:pPr>
    </w:p>
    <w:p w14:paraId="64113F64" w14:textId="2203E060" w:rsidR="00E70960" w:rsidRDefault="00E70960" w:rsidP="00E70960">
      <w:pPr>
        <w:spacing w:after="0"/>
        <w:ind w:left="360"/>
      </w:pPr>
      <w:r>
        <w:t xml:space="preserve">  The </w:t>
      </w:r>
      <w:r w:rsidR="00030011">
        <w:t>R</w:t>
      </w:r>
      <w:r>
        <w:t xml:space="preserve">ate in the </w:t>
      </w:r>
      <w:r w:rsidR="00030011">
        <w:t>D</w:t>
      </w:r>
      <w:r>
        <w:t>ollar is .001764</w:t>
      </w:r>
    </w:p>
    <w:p w14:paraId="37EAAB8E" w14:textId="4386ABAB" w:rsidR="00E70960" w:rsidRDefault="00E70960" w:rsidP="00E70960">
      <w:pPr>
        <w:spacing w:after="0"/>
        <w:ind w:left="360"/>
      </w:pPr>
      <w:r>
        <w:t xml:space="preserve">  </w:t>
      </w:r>
    </w:p>
    <w:p w14:paraId="277D3B53" w14:textId="7D4AB6DD" w:rsidR="00030011" w:rsidRDefault="00030011" w:rsidP="00E70960">
      <w:pPr>
        <w:spacing w:after="0"/>
        <w:ind w:left="360"/>
      </w:pPr>
      <w:r>
        <w:t xml:space="preserve"> The Rate in the Dollar (RID) is then adjusted to provide for rebates and any discounts to any groups of ratepayers.</w:t>
      </w:r>
      <w:r w:rsidR="00B66064">
        <w:t xml:space="preserve">  For the example below</w:t>
      </w:r>
      <w:r w:rsidR="00F906A0">
        <w:t>,</w:t>
      </w:r>
      <w:r w:rsidR="00B66064">
        <w:t xml:space="preserve"> the RID has not been adjusted.</w:t>
      </w:r>
    </w:p>
    <w:p w14:paraId="2A385234" w14:textId="77777777" w:rsidR="00030011" w:rsidRDefault="00030011" w:rsidP="00E70960">
      <w:pPr>
        <w:spacing w:after="0"/>
        <w:ind w:left="360"/>
      </w:pPr>
    </w:p>
    <w:p w14:paraId="1708DBAC" w14:textId="6D7E2A16" w:rsidR="00B63D2E" w:rsidRDefault="00B63D2E" w:rsidP="00E70960">
      <w:pPr>
        <w:spacing w:after="0"/>
        <w:ind w:left="360"/>
      </w:pPr>
      <w:r>
        <w:t>A property with a Value of $300,000 would have the following rates calculation:</w:t>
      </w:r>
    </w:p>
    <w:p w14:paraId="4EF9DEAB" w14:textId="77777777" w:rsidR="00B63D2E" w:rsidRDefault="00B63D2E" w:rsidP="00E70960">
      <w:pPr>
        <w:spacing w:after="0"/>
        <w:ind w:left="360"/>
      </w:pPr>
    </w:p>
    <w:p w14:paraId="4C1A07D2" w14:textId="1609D7E9" w:rsidR="00B63D2E" w:rsidRDefault="00B63D2E" w:rsidP="00B63D2E">
      <w:pPr>
        <w:spacing w:after="0"/>
        <w:ind w:left="720"/>
      </w:pPr>
      <w:r>
        <w:t>Fixed Charge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$775.00</w:t>
      </w:r>
    </w:p>
    <w:p w14:paraId="40E9F7F4" w14:textId="57447949" w:rsidR="00B63D2E" w:rsidRDefault="00B63D2E" w:rsidP="00B63D2E">
      <w:pPr>
        <w:spacing w:after="0"/>
        <w:ind w:left="720"/>
      </w:pPr>
      <w:r>
        <w:t>Property Valuation of $300,000 x RID of .001764</w:t>
      </w:r>
      <w:r>
        <w:tab/>
      </w:r>
      <w:r>
        <w:tab/>
      </w:r>
      <w:r>
        <w:tab/>
      </w:r>
      <w:r w:rsidRPr="0009783E">
        <w:rPr>
          <w:u w:val="single"/>
        </w:rPr>
        <w:t>$529.20</w:t>
      </w:r>
    </w:p>
    <w:p w14:paraId="357F179D" w14:textId="77777777" w:rsidR="00B63D2E" w:rsidRDefault="00B63D2E" w:rsidP="00E70960">
      <w:pPr>
        <w:spacing w:after="0"/>
        <w:ind w:left="360"/>
      </w:pPr>
    </w:p>
    <w:p w14:paraId="675D8553" w14:textId="051A6B28" w:rsidR="0009783E" w:rsidRDefault="0009783E" w:rsidP="00E70960">
      <w:pPr>
        <w:spacing w:after="0"/>
        <w:ind w:left="360"/>
      </w:pPr>
      <w:r>
        <w:tab/>
        <w:t>Total Rates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$1,304.20</w:t>
      </w:r>
    </w:p>
    <w:p w14:paraId="3C70B339" w14:textId="77777777" w:rsidR="00E70960" w:rsidRDefault="00E70960" w:rsidP="00E70960">
      <w:pPr>
        <w:spacing w:after="0"/>
      </w:pPr>
    </w:p>
    <w:p w14:paraId="253A0B05" w14:textId="6B6B6614" w:rsidR="00BC1E4B" w:rsidRDefault="00BC1E4B" w:rsidP="00020050">
      <w:r>
        <w:t>If the value of all or some of the properties increase</w:t>
      </w:r>
      <w:r w:rsidR="0087000B">
        <w:t>s</w:t>
      </w:r>
      <w:r>
        <w:t xml:space="preserve"> </w:t>
      </w:r>
      <w:r w:rsidR="00270294">
        <w:t>and Council still needs to raise the same amount of rates, the RID will decrease.</w:t>
      </w:r>
      <w:r w:rsidR="00F906A0">
        <w:t xml:space="preserve"> </w:t>
      </w:r>
      <w:r w:rsidR="00270294">
        <w:t xml:space="preserve"> Council does not receive additional rates when values go up</w:t>
      </w:r>
      <w:r w:rsidR="0087000B">
        <w:t>; however,</w:t>
      </w:r>
      <w:r w:rsidR="00270294">
        <w:t xml:space="preserve"> valuations are not uniform across all types of properties</w:t>
      </w:r>
      <w:r w:rsidR="0087000B">
        <w:t>,</w:t>
      </w:r>
      <w:r w:rsidR="00270294">
        <w:t xml:space="preserve"> and this may result in some properties paying more rates and some paying less than previously.</w:t>
      </w:r>
    </w:p>
    <w:p w14:paraId="36D42791" w14:textId="2E53127C" w:rsidR="00030011" w:rsidRDefault="00030011" w:rsidP="00020050">
      <w:r>
        <w:t>Moving from Site to Capital results in a higher valuation used for this calculation than when using Site Value</w:t>
      </w:r>
      <w:r w:rsidR="00F906A0">
        <w:t>,</w:t>
      </w:r>
      <w:r>
        <w:t xml:space="preserve"> resulting in a lower Rate in the Dollar.</w:t>
      </w:r>
    </w:p>
    <w:p w14:paraId="01E394D8" w14:textId="77777777" w:rsidR="00CC6D68" w:rsidRPr="0048309F" w:rsidRDefault="00CC6D68" w:rsidP="008749D6">
      <w:pPr>
        <w:pStyle w:val="Heading2"/>
      </w:pPr>
      <w:bookmarkStart w:id="32" w:name="_Toc148095007"/>
      <w:r w:rsidRPr="0048309F">
        <w:t>A General Rate</w:t>
      </w:r>
      <w:bookmarkEnd w:id="32"/>
    </w:p>
    <w:p w14:paraId="12D1C95C" w14:textId="02B100C1" w:rsidR="005C22BC" w:rsidRDefault="005C22BC" w:rsidP="00020050">
      <w:r>
        <w:t xml:space="preserve">All properties are charged the same </w:t>
      </w:r>
      <w:r w:rsidR="00F906A0">
        <w:t>'</w:t>
      </w:r>
      <w:r>
        <w:t>rate in the dollar</w:t>
      </w:r>
      <w:r w:rsidR="00F906A0">
        <w:t>'</w:t>
      </w:r>
      <w:r>
        <w:t xml:space="preserve">, regardless of </w:t>
      </w:r>
      <w:r w:rsidR="00F906A0">
        <w:t>Land Use</w:t>
      </w:r>
      <w:r>
        <w:t xml:space="preserve"> or </w:t>
      </w:r>
      <w:r w:rsidR="00F906A0">
        <w:t>L</w:t>
      </w:r>
      <w:r>
        <w:t>ocality.</w:t>
      </w:r>
      <w:r w:rsidR="00F906A0">
        <w:t xml:space="preserve"> </w:t>
      </w:r>
      <w:r>
        <w:t xml:space="preserve"> This is very simple to administer.  </w:t>
      </w:r>
    </w:p>
    <w:p w14:paraId="15268C51" w14:textId="1F6F1D7D" w:rsidR="005C22BC" w:rsidRPr="0048309F" w:rsidRDefault="005C22BC" w:rsidP="008749D6">
      <w:pPr>
        <w:pStyle w:val="Heading2"/>
      </w:pPr>
      <w:bookmarkStart w:id="33" w:name="_Toc148095008"/>
      <w:r w:rsidRPr="0048309F">
        <w:t>A Differential Rate</w:t>
      </w:r>
      <w:bookmarkEnd w:id="33"/>
    </w:p>
    <w:p w14:paraId="301D28AD" w14:textId="688709E7" w:rsidR="00020050" w:rsidRDefault="005C22BC" w:rsidP="00020050">
      <w:r>
        <w:t xml:space="preserve">This means there are different </w:t>
      </w:r>
      <w:r w:rsidR="00F906A0">
        <w:t>'</w:t>
      </w:r>
      <w:r>
        <w:t>rates in the dollar</w:t>
      </w:r>
      <w:r w:rsidR="00F906A0">
        <w:t>'</w:t>
      </w:r>
      <w:r>
        <w:t xml:space="preserve"> set for different </w:t>
      </w:r>
      <w:r w:rsidR="00020050">
        <w:t>categories</w:t>
      </w:r>
      <w:r>
        <w:t xml:space="preserve"> of properties.</w:t>
      </w:r>
      <w:r w:rsidR="00F906A0">
        <w:t xml:space="preserve"> </w:t>
      </w:r>
      <w:r w:rsidR="00EE687F">
        <w:t xml:space="preserve"> A Council can use either </w:t>
      </w:r>
      <w:r w:rsidR="00F906A0">
        <w:t>Land Use</w:t>
      </w:r>
      <w:r w:rsidR="00EE687F">
        <w:t>, Locality, or a combination.</w:t>
      </w:r>
      <w:r w:rsidR="00F906A0">
        <w:t xml:space="preserve"> </w:t>
      </w:r>
      <w:r w:rsidR="00EE687F">
        <w:t xml:space="preserve"> Differentiating properties based on Locality and </w:t>
      </w:r>
      <w:r w:rsidR="00F906A0">
        <w:t>Land Use</w:t>
      </w:r>
      <w:r w:rsidR="00EE687F">
        <w:t xml:space="preserve"> are described below</w:t>
      </w:r>
      <w:r w:rsidR="00020050">
        <w:t>.</w:t>
      </w:r>
    </w:p>
    <w:p w14:paraId="7BA3CA10" w14:textId="3A3C0A48" w:rsidR="00020050" w:rsidRDefault="00020050" w:rsidP="00020050">
      <w:r>
        <w:t xml:space="preserve">A differential rate allows a Council to structure their rating strategy more closely with </w:t>
      </w:r>
      <w:r w:rsidR="0087000B">
        <w:t>its</w:t>
      </w:r>
      <w:r>
        <w:t xml:space="preserve"> community</w:t>
      </w:r>
      <w:r w:rsidR="00F906A0">
        <w:t>'</w:t>
      </w:r>
      <w:r>
        <w:t xml:space="preserve">s needs and profile and to use </w:t>
      </w:r>
      <w:r w:rsidR="0087000B">
        <w:t>r</w:t>
      </w:r>
      <w:r>
        <w:t>ating as a tool to assist in achieving Council</w:t>
      </w:r>
      <w:r w:rsidR="00F906A0">
        <w:t>'</w:t>
      </w:r>
      <w:r>
        <w:t>s strategic goals.</w:t>
      </w:r>
    </w:p>
    <w:p w14:paraId="2B3F4F8F" w14:textId="77777777" w:rsidR="005C22BC" w:rsidRPr="00DA2A8F" w:rsidRDefault="005C22BC" w:rsidP="00DA2A8F">
      <w:pPr>
        <w:pStyle w:val="Heading3"/>
      </w:pPr>
      <w:r w:rsidRPr="00DA2A8F">
        <w:lastRenderedPageBreak/>
        <w:t>Locality</w:t>
      </w:r>
    </w:p>
    <w:p w14:paraId="58255756" w14:textId="0EADEB2B" w:rsidR="00020050" w:rsidRDefault="0087000B" w:rsidP="00020050">
      <w:r>
        <w:t>Rating by Locality is r</w:t>
      </w:r>
      <w:r w:rsidR="005C22BC">
        <w:t>ating according to where a property is</w:t>
      </w:r>
      <w:r>
        <w:t xml:space="preserve"> located</w:t>
      </w:r>
      <w:r w:rsidR="005C22BC">
        <w:t>.</w:t>
      </w:r>
      <w:r w:rsidR="00F906A0">
        <w:t xml:space="preserve"> </w:t>
      </w:r>
      <w:r w:rsidR="005C22BC">
        <w:t xml:space="preserve"> </w:t>
      </w:r>
      <w:r>
        <w:t xml:space="preserve">The development zone determines the </w:t>
      </w:r>
      <w:r w:rsidR="00F906A0">
        <w:t>L</w:t>
      </w:r>
      <w:r>
        <w:t>ocality the property is in.</w:t>
      </w:r>
      <w:r w:rsidR="00F906A0">
        <w:t xml:space="preserve"> </w:t>
      </w:r>
      <w:r>
        <w:t xml:space="preserve"> For example, some Councils set a different RID for different townships or whether a property is inside or outside a township(s)</w:t>
      </w:r>
      <w:r w:rsidR="00020050">
        <w:t>.</w:t>
      </w:r>
    </w:p>
    <w:p w14:paraId="30A11B04" w14:textId="023E8A55" w:rsidR="005C22BC" w:rsidRPr="0048309F" w:rsidRDefault="00F906A0" w:rsidP="00DA2A8F">
      <w:pPr>
        <w:pStyle w:val="Heading3"/>
      </w:pPr>
      <w:r>
        <w:t>Land Use</w:t>
      </w:r>
    </w:p>
    <w:p w14:paraId="2F963182" w14:textId="1FD79485" w:rsidR="005C22BC" w:rsidRDefault="005C22BC" w:rsidP="00020050">
      <w:pPr>
        <w:spacing w:after="0"/>
      </w:pPr>
      <w:r>
        <w:t xml:space="preserve">This is where the </w:t>
      </w:r>
      <w:r w:rsidR="00270294">
        <w:t>RID</w:t>
      </w:r>
      <w:r>
        <w:t xml:space="preserve"> is set depending on what the property is used for.</w:t>
      </w:r>
      <w:r w:rsidR="00F906A0">
        <w:t xml:space="preserve"> </w:t>
      </w:r>
      <w:r>
        <w:t xml:space="preserve"> The </w:t>
      </w:r>
      <w:r w:rsidR="00F906A0">
        <w:t>Land Use</w:t>
      </w:r>
      <w:r>
        <w:t xml:space="preserve"> types </w:t>
      </w:r>
      <w:r w:rsidR="00BB4973">
        <w:t xml:space="preserve">in accordance with the Local Government Regulations and as </w:t>
      </w:r>
      <w:r>
        <w:t>determined by the Valuer General are:</w:t>
      </w:r>
    </w:p>
    <w:p w14:paraId="2FF625E3" w14:textId="77777777" w:rsidR="005C22BC" w:rsidRDefault="005C22BC" w:rsidP="00270294">
      <w:pPr>
        <w:pStyle w:val="ListParagraph"/>
        <w:numPr>
          <w:ilvl w:val="0"/>
          <w:numId w:val="7"/>
        </w:numPr>
        <w:spacing w:before="240" w:after="0" w:line="276" w:lineRule="auto"/>
        <w:ind w:left="709" w:hanging="426"/>
      </w:pPr>
      <w:r w:rsidRPr="000218AF">
        <w:t xml:space="preserve">Residential </w:t>
      </w:r>
    </w:p>
    <w:p w14:paraId="11185141" w14:textId="77777777" w:rsidR="00BB4973" w:rsidRDefault="005C22BC" w:rsidP="00471175">
      <w:pPr>
        <w:pStyle w:val="ListParagraph"/>
        <w:numPr>
          <w:ilvl w:val="0"/>
          <w:numId w:val="7"/>
        </w:numPr>
        <w:spacing w:after="200" w:line="276" w:lineRule="auto"/>
        <w:ind w:left="709" w:hanging="426"/>
      </w:pPr>
      <w:r w:rsidRPr="000218AF">
        <w:t>Commercial</w:t>
      </w:r>
      <w:r w:rsidR="00BB4973">
        <w:t xml:space="preserve"> (Shop)</w:t>
      </w:r>
    </w:p>
    <w:p w14:paraId="6CF1F1A5" w14:textId="77777777" w:rsidR="005C22BC" w:rsidRDefault="00BB4973" w:rsidP="00471175">
      <w:pPr>
        <w:pStyle w:val="ListParagraph"/>
        <w:numPr>
          <w:ilvl w:val="0"/>
          <w:numId w:val="7"/>
        </w:numPr>
        <w:spacing w:after="200" w:line="276" w:lineRule="auto"/>
        <w:ind w:left="709" w:hanging="426"/>
      </w:pPr>
      <w:r>
        <w:t>Commercial</w:t>
      </w:r>
      <w:r w:rsidR="000D798F">
        <w:t xml:space="preserve"> </w:t>
      </w:r>
      <w:r>
        <w:t>(</w:t>
      </w:r>
      <w:r w:rsidR="005C22BC" w:rsidRPr="000218AF">
        <w:t>Office</w:t>
      </w:r>
      <w:r>
        <w:t>)</w:t>
      </w:r>
      <w:r w:rsidR="005C22BC" w:rsidRPr="000218AF">
        <w:t xml:space="preserve"> </w:t>
      </w:r>
    </w:p>
    <w:p w14:paraId="18D02847" w14:textId="77777777" w:rsidR="00BB4973" w:rsidRDefault="00BB4973" w:rsidP="00471175">
      <w:pPr>
        <w:pStyle w:val="ListParagraph"/>
        <w:numPr>
          <w:ilvl w:val="0"/>
          <w:numId w:val="7"/>
        </w:numPr>
        <w:spacing w:after="200" w:line="276" w:lineRule="auto"/>
        <w:ind w:left="709" w:hanging="426"/>
      </w:pPr>
      <w:r>
        <w:t>Commercial (Other)</w:t>
      </w:r>
    </w:p>
    <w:p w14:paraId="04A5DD79" w14:textId="77777777" w:rsidR="00BB4973" w:rsidRDefault="005C22BC" w:rsidP="00471175">
      <w:pPr>
        <w:pStyle w:val="ListParagraph"/>
        <w:numPr>
          <w:ilvl w:val="0"/>
          <w:numId w:val="7"/>
        </w:numPr>
        <w:spacing w:after="200" w:line="276" w:lineRule="auto"/>
        <w:ind w:left="709" w:hanging="426"/>
      </w:pPr>
      <w:r w:rsidRPr="000218AF">
        <w:t xml:space="preserve">Industrial </w:t>
      </w:r>
      <w:r w:rsidR="00BB4973">
        <w:t>(</w:t>
      </w:r>
      <w:r w:rsidRPr="000218AF">
        <w:t>Light</w:t>
      </w:r>
      <w:r w:rsidR="00BB4973">
        <w:t>)</w:t>
      </w:r>
    </w:p>
    <w:p w14:paraId="6A2E2ED7" w14:textId="77777777" w:rsidR="005C22BC" w:rsidRDefault="00BB4973" w:rsidP="00471175">
      <w:pPr>
        <w:pStyle w:val="ListParagraph"/>
        <w:numPr>
          <w:ilvl w:val="0"/>
          <w:numId w:val="7"/>
        </w:numPr>
        <w:spacing w:after="200" w:line="276" w:lineRule="auto"/>
        <w:ind w:left="709" w:hanging="426"/>
      </w:pPr>
      <w:r>
        <w:t>Industrial (Other)</w:t>
      </w:r>
      <w:r w:rsidR="005C22BC" w:rsidRPr="000218AF">
        <w:t xml:space="preserve"> </w:t>
      </w:r>
    </w:p>
    <w:p w14:paraId="08C7DDAD" w14:textId="77777777" w:rsidR="005C22BC" w:rsidRDefault="005C22BC" w:rsidP="00471175">
      <w:pPr>
        <w:pStyle w:val="ListParagraph"/>
        <w:numPr>
          <w:ilvl w:val="0"/>
          <w:numId w:val="7"/>
        </w:numPr>
        <w:spacing w:after="200" w:line="276" w:lineRule="auto"/>
        <w:ind w:left="709" w:hanging="426"/>
      </w:pPr>
      <w:r w:rsidRPr="000218AF">
        <w:t xml:space="preserve">Primary Production </w:t>
      </w:r>
    </w:p>
    <w:p w14:paraId="768FFB14" w14:textId="77777777" w:rsidR="005C22BC" w:rsidRDefault="005C22BC" w:rsidP="00471175">
      <w:pPr>
        <w:pStyle w:val="ListParagraph"/>
        <w:numPr>
          <w:ilvl w:val="0"/>
          <w:numId w:val="7"/>
        </w:numPr>
        <w:spacing w:after="200" w:line="276" w:lineRule="auto"/>
        <w:ind w:left="709" w:hanging="426"/>
      </w:pPr>
      <w:r w:rsidRPr="000218AF">
        <w:t xml:space="preserve">Vacant Land  </w:t>
      </w:r>
    </w:p>
    <w:p w14:paraId="0CA0282D" w14:textId="77777777" w:rsidR="005C22BC" w:rsidRDefault="005C22BC" w:rsidP="00471175">
      <w:pPr>
        <w:pStyle w:val="ListParagraph"/>
        <w:numPr>
          <w:ilvl w:val="0"/>
          <w:numId w:val="7"/>
        </w:numPr>
        <w:spacing w:after="200" w:line="276" w:lineRule="auto"/>
        <w:ind w:left="709" w:hanging="426"/>
      </w:pPr>
      <w:r w:rsidRPr="000218AF">
        <w:t>Other</w:t>
      </w:r>
    </w:p>
    <w:p w14:paraId="77320E33" w14:textId="77777777" w:rsidR="00BB4973" w:rsidRPr="000218AF" w:rsidRDefault="00BB4973" w:rsidP="00471175">
      <w:pPr>
        <w:pStyle w:val="ListParagraph"/>
        <w:numPr>
          <w:ilvl w:val="0"/>
          <w:numId w:val="7"/>
        </w:numPr>
        <w:spacing w:after="200" w:line="276" w:lineRule="auto"/>
        <w:ind w:left="709" w:hanging="426"/>
      </w:pPr>
      <w:r>
        <w:t>Marina Berth</w:t>
      </w:r>
    </w:p>
    <w:p w14:paraId="3433A478" w14:textId="630867B1" w:rsidR="00030011" w:rsidRDefault="0087000B" w:rsidP="00020050">
      <w:r>
        <w:t>Differential rates</w:t>
      </w:r>
      <w:r w:rsidR="00030011">
        <w:t xml:space="preserve"> based on </w:t>
      </w:r>
      <w:r w:rsidR="00F906A0">
        <w:t>Land Use</w:t>
      </w:r>
      <w:r w:rsidR="00030011">
        <w:t xml:space="preserve"> can make it easier for a Council to understand what factors are impacting different types of ratepayers and how different rating strategies are affecting them.</w:t>
      </w:r>
      <w:r>
        <w:t xml:space="preserve"> </w:t>
      </w:r>
    </w:p>
    <w:p w14:paraId="6C98374E" w14:textId="21941B1C" w:rsidR="00020050" w:rsidRDefault="00020050" w:rsidP="00020050">
      <w:r>
        <w:t xml:space="preserve">Differentials can also be used based on </w:t>
      </w:r>
      <w:r w:rsidR="0087000B">
        <w:t xml:space="preserve">Locality and </w:t>
      </w:r>
      <w:r w:rsidR="00F906A0">
        <w:t>Land Use</w:t>
      </w:r>
      <w:r w:rsidR="0087000B">
        <w:t xml:space="preserve"> combinations,</w:t>
      </w:r>
      <w:r>
        <w:t xml:space="preserve"> and Councils that use this combination can have quite complex rating structures.</w:t>
      </w:r>
    </w:p>
    <w:p w14:paraId="7FBFFCF3" w14:textId="5119043E" w:rsidR="005C22BC" w:rsidRDefault="005C22BC" w:rsidP="00020050">
      <w:pPr>
        <w:spacing w:after="0"/>
      </w:pPr>
      <w:r>
        <w:t xml:space="preserve">Differential rates allow a Council to set policy direction </w:t>
      </w:r>
      <w:r w:rsidR="0087000B">
        <w:t>regarding</w:t>
      </w:r>
      <w:r>
        <w:t xml:space="preserve"> their </w:t>
      </w:r>
      <w:r w:rsidR="0087000B">
        <w:t>r</w:t>
      </w:r>
      <w:r>
        <w:t>ating, such as:</w:t>
      </w:r>
    </w:p>
    <w:p w14:paraId="0357EB9E" w14:textId="516FDD13" w:rsidR="005C22BC" w:rsidRDefault="00EE687F" w:rsidP="00471175">
      <w:pPr>
        <w:pStyle w:val="ListParagraph"/>
        <w:numPr>
          <w:ilvl w:val="0"/>
          <w:numId w:val="8"/>
        </w:numPr>
        <w:spacing w:before="240" w:after="200" w:line="276" w:lineRule="auto"/>
      </w:pPr>
      <w:r>
        <w:t xml:space="preserve">A </w:t>
      </w:r>
      <w:r w:rsidR="005C22BC">
        <w:t xml:space="preserve">Lower </w:t>
      </w:r>
      <w:r w:rsidR="00F906A0">
        <w:t>'</w:t>
      </w:r>
      <w:r w:rsidR="005C22BC">
        <w:t>rate in the dollar</w:t>
      </w:r>
      <w:r w:rsidR="00F906A0">
        <w:t>'</w:t>
      </w:r>
      <w:r w:rsidR="005C22BC">
        <w:t xml:space="preserve"> to assist or encourage a </w:t>
      </w:r>
      <w:r w:rsidR="0087000B">
        <w:t>specific</w:t>
      </w:r>
      <w:r w:rsidR="005C22BC">
        <w:t xml:space="preserve"> type of </w:t>
      </w:r>
      <w:r w:rsidR="00F906A0">
        <w:t>Land Use</w:t>
      </w:r>
      <w:r w:rsidR="00DD56DD">
        <w:t>.</w:t>
      </w:r>
    </w:p>
    <w:p w14:paraId="5EF6D142" w14:textId="083F632E" w:rsidR="005C22BC" w:rsidRDefault="00EE687F" w:rsidP="00471175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A </w:t>
      </w:r>
      <w:r w:rsidR="005C22BC">
        <w:t xml:space="preserve">Higher </w:t>
      </w:r>
      <w:r w:rsidR="00F906A0">
        <w:t>'</w:t>
      </w:r>
      <w:r w:rsidR="005C22BC">
        <w:t>rate in the dollar</w:t>
      </w:r>
      <w:r w:rsidR="00F906A0">
        <w:t>'</w:t>
      </w:r>
      <w:r w:rsidR="005C22BC">
        <w:t xml:space="preserve"> to deter a </w:t>
      </w:r>
      <w:r w:rsidR="0087000B">
        <w:t>specific</w:t>
      </w:r>
      <w:r w:rsidR="005C22BC">
        <w:t xml:space="preserve"> type of </w:t>
      </w:r>
      <w:r w:rsidR="00F906A0">
        <w:t>Land Use</w:t>
      </w:r>
      <w:r w:rsidR="005C22BC">
        <w:t xml:space="preserve"> or as an acknowledgement that that </w:t>
      </w:r>
      <w:r w:rsidR="00F906A0">
        <w:t>Land Use</w:t>
      </w:r>
      <w:r w:rsidR="005C22BC">
        <w:t xml:space="preserve"> group needs to pay a higher contribution to the rates burden for the community.</w:t>
      </w:r>
    </w:p>
    <w:p w14:paraId="3DC6A80B" w14:textId="77777777" w:rsidR="005C22BC" w:rsidRPr="0048309F" w:rsidRDefault="005C22BC" w:rsidP="008749D6">
      <w:pPr>
        <w:pStyle w:val="Heading2"/>
      </w:pPr>
      <w:bookmarkStart w:id="34" w:name="_Toc148095009"/>
      <w:r w:rsidRPr="0048309F">
        <w:t>Fixed Charge</w:t>
      </w:r>
      <w:bookmarkEnd w:id="34"/>
    </w:p>
    <w:p w14:paraId="762E022B" w14:textId="75BBADF1" w:rsidR="00020050" w:rsidRDefault="005C22BC" w:rsidP="00020050">
      <w:r>
        <w:t>Under this system</w:t>
      </w:r>
      <w:r w:rsidR="0087000B">
        <w:t>,</w:t>
      </w:r>
      <w:r>
        <w:t xml:space="preserve"> a fixed amount is first applied evenly against all ratepayers.</w:t>
      </w:r>
      <w:r w:rsidR="00F906A0">
        <w:t xml:space="preserve"> </w:t>
      </w:r>
      <w:r>
        <w:t xml:space="preserve"> </w:t>
      </w:r>
      <w:r w:rsidR="00020050">
        <w:t>The remaining amount of rate revenue</w:t>
      </w:r>
      <w:r w:rsidR="00270294">
        <w:t xml:space="preserve"> required</w:t>
      </w:r>
      <w:r w:rsidR="00020050">
        <w:t xml:space="preserve"> </w:t>
      </w:r>
      <w:r w:rsidR="00270294">
        <w:t>is then divided by the total valuations of all the properties to result in the RID.</w:t>
      </w:r>
      <w:r w:rsidR="00F906A0">
        <w:t xml:space="preserve"> </w:t>
      </w:r>
      <w:r w:rsidR="00270294">
        <w:t xml:space="preserve"> Properties are charged the Fixed Charge + the rate calculation.</w:t>
      </w:r>
    </w:p>
    <w:p w14:paraId="23A1C5B3" w14:textId="6AE9FDB7" w:rsidR="00020050" w:rsidRDefault="00020050" w:rsidP="00020050">
      <w:r>
        <w:t xml:space="preserve">The Act states that a Council must not seek to set a </w:t>
      </w:r>
      <w:r w:rsidR="00F906A0">
        <w:t>F</w:t>
      </w:r>
      <w:r>
        <w:t xml:space="preserve">ixed </w:t>
      </w:r>
      <w:r w:rsidR="00F906A0">
        <w:t>C</w:t>
      </w:r>
      <w:r>
        <w:t>harge at levels that will raise more than 50% of all general rate revenue.</w:t>
      </w:r>
    </w:p>
    <w:p w14:paraId="09298A63" w14:textId="6802F0F6" w:rsidR="005C22BC" w:rsidRDefault="005C22BC" w:rsidP="00020050">
      <w:r>
        <w:t xml:space="preserve">The effect of a </w:t>
      </w:r>
      <w:r w:rsidR="00F906A0">
        <w:t>F</w:t>
      </w:r>
      <w:r>
        <w:t xml:space="preserve">ixed </w:t>
      </w:r>
      <w:r w:rsidR="00F906A0">
        <w:t>C</w:t>
      </w:r>
      <w:r>
        <w:t>harge is a lower rate in the dollar</w:t>
      </w:r>
      <w:r w:rsidR="0087000B">
        <w:t>,</w:t>
      </w:r>
      <w:r>
        <w:t xml:space="preserve"> so higher</w:t>
      </w:r>
      <w:r w:rsidR="0087000B">
        <w:t>-</w:t>
      </w:r>
      <w:r>
        <w:t xml:space="preserve">valued properties pay less than they would if there were no </w:t>
      </w:r>
      <w:r w:rsidR="00F906A0">
        <w:t>F</w:t>
      </w:r>
      <w:r>
        <w:t xml:space="preserve">ixed </w:t>
      </w:r>
      <w:r w:rsidR="00F906A0">
        <w:t>C</w:t>
      </w:r>
      <w:r>
        <w:t>harge</w:t>
      </w:r>
      <w:r w:rsidR="0087000B">
        <w:t>,</w:t>
      </w:r>
      <w:r w:rsidR="004B24A5">
        <w:t xml:space="preserve"> and lower</w:t>
      </w:r>
      <w:r w:rsidR="0087000B">
        <w:t>-</w:t>
      </w:r>
      <w:r w:rsidR="004B24A5">
        <w:t>valued properties pay more.</w:t>
      </w:r>
    </w:p>
    <w:p w14:paraId="19AEAA05" w14:textId="349803F9" w:rsidR="005C22BC" w:rsidRDefault="005C22BC" w:rsidP="00020050">
      <w:r>
        <w:t xml:space="preserve">Developers with </w:t>
      </w:r>
      <w:r w:rsidR="005A5B4A">
        <w:t>several</w:t>
      </w:r>
      <w:r>
        <w:t xml:space="preserve"> adjoining blocks will only pay one </w:t>
      </w:r>
      <w:r w:rsidR="00F906A0">
        <w:t>F</w:t>
      </w:r>
      <w:r>
        <w:t xml:space="preserve">ixed </w:t>
      </w:r>
      <w:r w:rsidR="0087000B">
        <w:t>C</w:t>
      </w:r>
      <w:r>
        <w:t>harge</w:t>
      </w:r>
      <w:r w:rsidR="0087000B">
        <w:t>,</w:t>
      </w:r>
      <w:r>
        <w:t xml:space="preserve"> and all the remaining properties will be charged at </w:t>
      </w:r>
      <w:r w:rsidR="003854BC">
        <w:t>the</w:t>
      </w:r>
      <w:r>
        <w:t xml:space="preserve"> lower </w:t>
      </w:r>
      <w:r w:rsidR="0087000B">
        <w:t>R</w:t>
      </w:r>
      <w:r>
        <w:t xml:space="preserve">ate in the dollar. </w:t>
      </w:r>
    </w:p>
    <w:p w14:paraId="42300D71" w14:textId="3C796D2C" w:rsidR="00020050" w:rsidRDefault="00020050" w:rsidP="00020050">
      <w:r>
        <w:t xml:space="preserve">Contiguous Land provisions within the Act provide that only one fixed </w:t>
      </w:r>
      <w:r w:rsidR="0087000B">
        <w:t>R</w:t>
      </w:r>
      <w:r>
        <w:t xml:space="preserve">ate is payable across adjoining land owned and occupied by the same ratepayer (as if they were one property).  </w:t>
      </w:r>
    </w:p>
    <w:p w14:paraId="488077ED" w14:textId="15144D5E" w:rsidR="00020050" w:rsidRDefault="00020050" w:rsidP="00020050">
      <w:r>
        <w:lastRenderedPageBreak/>
        <w:t xml:space="preserve">Single Farm Enterprises are only subject to one </w:t>
      </w:r>
      <w:r w:rsidR="00F906A0">
        <w:t>F</w:t>
      </w:r>
      <w:r>
        <w:t xml:space="preserve">ixed </w:t>
      </w:r>
      <w:r w:rsidR="0087000B">
        <w:t>C</w:t>
      </w:r>
      <w:r w:rsidR="004B24A5">
        <w:t>harge</w:t>
      </w:r>
      <w:r>
        <w:t xml:space="preserve"> (where applicable).</w:t>
      </w:r>
      <w:r w:rsidR="00F906A0">
        <w:t xml:space="preserve"> </w:t>
      </w:r>
      <w:r>
        <w:t xml:space="preserve"> In accordance with legislation, the </w:t>
      </w:r>
      <w:r w:rsidR="00F906A0">
        <w:t>F</w:t>
      </w:r>
      <w:r>
        <w:t xml:space="preserve">ixed </w:t>
      </w:r>
      <w:r w:rsidR="0087000B">
        <w:t>C</w:t>
      </w:r>
      <w:r>
        <w:t xml:space="preserve">harge </w:t>
      </w:r>
      <w:r w:rsidR="0087000B">
        <w:t>does not apply</w:t>
      </w:r>
      <w:r>
        <w:t xml:space="preserve"> to Marina Berths.</w:t>
      </w:r>
    </w:p>
    <w:p w14:paraId="5CBD422E" w14:textId="77777777" w:rsidR="005C22BC" w:rsidRPr="0048309F" w:rsidRDefault="005C22BC" w:rsidP="008749D6">
      <w:pPr>
        <w:pStyle w:val="Heading2"/>
      </w:pPr>
      <w:bookmarkStart w:id="35" w:name="_Toc148095010"/>
      <w:r w:rsidRPr="0048309F">
        <w:t>Minimum Rate</w:t>
      </w:r>
      <w:bookmarkEnd w:id="35"/>
    </w:p>
    <w:p w14:paraId="0A683685" w14:textId="557A9D48" w:rsidR="00020050" w:rsidRDefault="00020050" w:rsidP="00020050">
      <w:r>
        <w:t xml:space="preserve">A minimum rate is only applied where the calculated rates (valuation x </w:t>
      </w:r>
      <w:r>
        <w:br/>
        <w:t xml:space="preserve">RID) </w:t>
      </w:r>
      <w:r w:rsidR="0087000B">
        <w:t>is</w:t>
      </w:r>
      <w:r>
        <w:t xml:space="preserve"> lower than a point that Council has set as a minimum to pay.</w:t>
      </w:r>
      <w:r w:rsidR="00F906A0">
        <w:t xml:space="preserve"> </w:t>
      </w:r>
      <w:r>
        <w:t xml:space="preserve"> This ensures that all ratepayers pay at least a certain amount.  </w:t>
      </w:r>
    </w:p>
    <w:p w14:paraId="5B003886" w14:textId="766C722D" w:rsidR="00020050" w:rsidRDefault="00020050" w:rsidP="00020050">
      <w:r>
        <w:t xml:space="preserve">Unlike a </w:t>
      </w:r>
      <w:r w:rsidR="00F906A0">
        <w:t>F</w:t>
      </w:r>
      <w:r>
        <w:t xml:space="preserve">ixed </w:t>
      </w:r>
      <w:r w:rsidR="00F906A0">
        <w:t>C</w:t>
      </w:r>
      <w:r>
        <w:t>harge, the higher</w:t>
      </w:r>
      <w:r w:rsidR="0087000B">
        <w:t>-</w:t>
      </w:r>
      <w:r>
        <w:t>valued properties do not gain an advantage.</w:t>
      </w:r>
      <w:r w:rsidR="00F906A0">
        <w:t xml:space="preserve"> </w:t>
      </w:r>
      <w:r>
        <w:t xml:space="preserve"> Care must be taken that the </w:t>
      </w:r>
      <w:r w:rsidR="0087000B">
        <w:t>M</w:t>
      </w:r>
      <w:r>
        <w:t xml:space="preserve">inimum is not set so high as to offend the </w:t>
      </w:r>
      <w:r w:rsidR="00F906A0">
        <w:t>'</w:t>
      </w:r>
      <w:r>
        <w:t>ability to pay</w:t>
      </w:r>
      <w:r w:rsidR="00F906A0">
        <w:t>'</w:t>
      </w:r>
      <w:r>
        <w:t xml:space="preserve"> principle.</w:t>
      </w:r>
      <w:r w:rsidR="00F906A0">
        <w:t xml:space="preserve"> </w:t>
      </w:r>
      <w:r>
        <w:t xml:space="preserve"> </w:t>
      </w:r>
      <w:r w:rsidR="0087000B">
        <w:t>The l</w:t>
      </w:r>
      <w:r>
        <w:t>egislation also s</w:t>
      </w:r>
      <w:r w:rsidR="00F906A0">
        <w:t>pecifie</w:t>
      </w:r>
      <w:r>
        <w:t xml:space="preserve">s that the total of properties on the minimum </w:t>
      </w:r>
      <w:r w:rsidR="0087000B">
        <w:t>R</w:t>
      </w:r>
      <w:r>
        <w:t>ate does not exceed 35%.</w:t>
      </w:r>
    </w:p>
    <w:p w14:paraId="32854CF7" w14:textId="7A1784B1" w:rsidR="00020050" w:rsidRDefault="00020050" w:rsidP="00020050">
      <w:r>
        <w:t xml:space="preserve">Contiguous Land provisions within the Act provide that only one </w:t>
      </w:r>
      <w:r w:rsidR="0087000B">
        <w:t>M</w:t>
      </w:r>
      <w:r>
        <w:t xml:space="preserve">inimum </w:t>
      </w:r>
      <w:r w:rsidR="0087000B">
        <w:t>R</w:t>
      </w:r>
      <w:r>
        <w:t>ate is payable across adjoining land owned and occupied by the same ratepayer (as if they were one property).</w:t>
      </w:r>
      <w:r w:rsidR="00F906A0">
        <w:t xml:space="preserve"> </w:t>
      </w:r>
      <w:r>
        <w:t xml:space="preserve"> Developers with adjoining blocks will have only one </w:t>
      </w:r>
      <w:r w:rsidR="0087000B">
        <w:t>M</w:t>
      </w:r>
      <w:r>
        <w:t>inimum applied.</w:t>
      </w:r>
    </w:p>
    <w:p w14:paraId="3EE662DE" w14:textId="734A70E9" w:rsidR="00020050" w:rsidRDefault="00020050" w:rsidP="00020050">
      <w:r>
        <w:t xml:space="preserve">Single Farm Enterprises are also only subject to one minimum </w:t>
      </w:r>
      <w:r w:rsidR="0087000B">
        <w:t>R</w:t>
      </w:r>
      <w:r>
        <w:t>ate (where applicable).</w:t>
      </w:r>
      <w:r w:rsidR="00F906A0">
        <w:t xml:space="preserve"> </w:t>
      </w:r>
      <w:r>
        <w:t xml:space="preserve"> In accordance with legislation, the </w:t>
      </w:r>
      <w:r w:rsidR="0087000B">
        <w:t>M</w:t>
      </w:r>
      <w:r>
        <w:t xml:space="preserve">inimum </w:t>
      </w:r>
      <w:r w:rsidR="0087000B">
        <w:t>R</w:t>
      </w:r>
      <w:r>
        <w:t xml:space="preserve">ate </w:t>
      </w:r>
      <w:r w:rsidR="0087000B">
        <w:t>does not apply</w:t>
      </w:r>
      <w:r>
        <w:t xml:space="preserve"> to Marina Berths.</w:t>
      </w:r>
    </w:p>
    <w:p w14:paraId="62096F71" w14:textId="613D23AD" w:rsidR="001507CB" w:rsidRDefault="001507CB" w:rsidP="008749D6">
      <w:pPr>
        <w:pStyle w:val="Heading2"/>
      </w:pPr>
      <w:bookmarkStart w:id="36" w:name="_Toc148095011"/>
      <w:r>
        <w:t>Separate Rates</w:t>
      </w:r>
      <w:bookmarkEnd w:id="36"/>
    </w:p>
    <w:p w14:paraId="232242F2" w14:textId="389BA5E7" w:rsidR="001507CB" w:rsidRDefault="00D05333" w:rsidP="001507CB">
      <w:r>
        <w:t xml:space="preserve">A Council can set a </w:t>
      </w:r>
      <w:r w:rsidR="0087000B">
        <w:t>S</w:t>
      </w:r>
      <w:r>
        <w:t xml:space="preserve">eparate </w:t>
      </w:r>
      <w:r w:rsidR="0087000B">
        <w:t>R</w:t>
      </w:r>
      <w:r>
        <w:t xml:space="preserve">ate for the whole or part of an area for the purpose of planning, carrying out, making available, supporting, </w:t>
      </w:r>
      <w:r w:rsidR="00DD56DD">
        <w:t>maintaining,</w:t>
      </w:r>
      <w:r>
        <w:t xml:space="preserve"> or improving an activity that is of particular benefit to the occupiers of the land within that area.</w:t>
      </w:r>
    </w:p>
    <w:p w14:paraId="17DF0487" w14:textId="746F0518" w:rsidR="005C22BC" w:rsidRPr="0048309F" w:rsidRDefault="005C22BC" w:rsidP="00DA2A8F">
      <w:pPr>
        <w:pStyle w:val="Heading1"/>
      </w:pPr>
      <w:bookmarkStart w:id="37" w:name="_Toc148095012"/>
      <w:r w:rsidRPr="0048309F">
        <w:t>Service Rates &amp; Charges</w:t>
      </w:r>
      <w:bookmarkEnd w:id="37"/>
    </w:p>
    <w:p w14:paraId="71E4BAE7" w14:textId="09DA892B" w:rsidR="001507CB" w:rsidRDefault="001507CB" w:rsidP="001507CB">
      <w:pPr>
        <w:spacing w:after="0"/>
      </w:pPr>
      <w:r>
        <w:t>A service charge is raised where a service is provided.</w:t>
      </w:r>
      <w:r w:rsidR="00F906A0">
        <w:t xml:space="preserve"> </w:t>
      </w:r>
      <w:r>
        <w:t xml:space="preserve"> Councils often raise service charges for the</w:t>
      </w:r>
      <w:r w:rsidR="0087000B">
        <w:t xml:space="preserve"> following</w:t>
      </w:r>
      <w:r>
        <w:t>:</w:t>
      </w:r>
    </w:p>
    <w:p w14:paraId="6EE33570" w14:textId="4E2E6A3C" w:rsidR="001507CB" w:rsidRDefault="001507CB" w:rsidP="00471175">
      <w:pPr>
        <w:pStyle w:val="ListParagraph"/>
        <w:numPr>
          <w:ilvl w:val="0"/>
          <w:numId w:val="9"/>
        </w:numPr>
        <w:spacing w:before="240" w:after="200" w:line="276" w:lineRule="auto"/>
      </w:pPr>
      <w:r>
        <w:t>Treatment or provision of water</w:t>
      </w:r>
      <w:r w:rsidR="0087000B">
        <w:t>,</w:t>
      </w:r>
      <w:r>
        <w:t xml:space="preserve"> i.e.</w:t>
      </w:r>
      <w:r w:rsidR="0087000B">
        <w:t>,</w:t>
      </w:r>
      <w:r>
        <w:t xml:space="preserve"> Community Wastewater Management System (CWMS)</w:t>
      </w:r>
    </w:p>
    <w:p w14:paraId="1D85FDE7" w14:textId="18DD5524" w:rsidR="001507CB" w:rsidRDefault="001507CB" w:rsidP="00471175">
      <w:pPr>
        <w:pStyle w:val="ListParagraph"/>
        <w:numPr>
          <w:ilvl w:val="0"/>
          <w:numId w:val="9"/>
        </w:numPr>
        <w:spacing w:after="200" w:line="276" w:lineRule="auto"/>
      </w:pPr>
      <w:r>
        <w:t>Collection of domestic waste</w:t>
      </w:r>
      <w:r w:rsidR="0087000B">
        <w:t>,</w:t>
      </w:r>
      <w:r>
        <w:t xml:space="preserve"> i.e.</w:t>
      </w:r>
      <w:r w:rsidR="0087000B">
        <w:t>,</w:t>
      </w:r>
      <w:r>
        <w:t xml:space="preserve"> Mobile Garbage Bin Collection</w:t>
      </w:r>
    </w:p>
    <w:p w14:paraId="386A5645" w14:textId="77777777" w:rsidR="001507CB" w:rsidRDefault="001507CB" w:rsidP="00471175">
      <w:pPr>
        <w:pStyle w:val="ListParagraph"/>
        <w:numPr>
          <w:ilvl w:val="0"/>
          <w:numId w:val="9"/>
        </w:numPr>
        <w:spacing w:after="200" w:line="276" w:lineRule="auto"/>
      </w:pPr>
      <w:r>
        <w:t>Provision of Water</w:t>
      </w:r>
    </w:p>
    <w:p w14:paraId="627C5641" w14:textId="382D6C99" w:rsidR="001507CB" w:rsidRDefault="0087000B" w:rsidP="001507CB">
      <w:r>
        <w:t>The l</w:t>
      </w:r>
      <w:r w:rsidR="001507CB">
        <w:t xml:space="preserve">egislation provides that Service Rates </w:t>
      </w:r>
      <w:r w:rsidR="00F906A0">
        <w:t>and c</w:t>
      </w:r>
      <w:r w:rsidR="001507CB">
        <w:t xml:space="preserve">harges </w:t>
      </w:r>
      <w:r>
        <w:t>must</w:t>
      </w:r>
      <w:r w:rsidR="001507CB">
        <w:t xml:space="preserve"> cover the costs of the services provided, including the cost of replacement infrastructure</w:t>
      </w:r>
      <w:r>
        <w:t>,</w:t>
      </w:r>
      <w:r w:rsidR="001507CB">
        <w:t xml:space="preserve"> such as </w:t>
      </w:r>
      <w:r>
        <w:t>replacing</w:t>
      </w:r>
      <w:r w:rsidR="001507CB">
        <w:t xml:space="preserve"> pipes and pumps within a Community Wastewater Management System.</w:t>
      </w:r>
      <w:r w:rsidR="001E7463">
        <w:t xml:space="preserve">  </w:t>
      </w:r>
    </w:p>
    <w:p w14:paraId="1470CE70" w14:textId="2C25E3D5" w:rsidR="0087000B" w:rsidRDefault="0087000B" w:rsidP="001507CB">
      <w:r>
        <w:t>Service Rates and Charges are not being considered as part of this Rating Review.</w:t>
      </w:r>
    </w:p>
    <w:p w14:paraId="6DC0D793" w14:textId="390379C6" w:rsidR="005C22BC" w:rsidRPr="0048309F" w:rsidRDefault="005A5B4A" w:rsidP="00084C2B">
      <w:pPr>
        <w:pStyle w:val="Heading1"/>
      </w:pPr>
      <w:bookmarkStart w:id="38" w:name="_Toc148095013"/>
      <w:r w:rsidRPr="0048309F">
        <w:t>Non-Rateable</w:t>
      </w:r>
      <w:r w:rsidR="005C22BC" w:rsidRPr="0048309F">
        <w:t xml:space="preserve"> Propert</w:t>
      </w:r>
      <w:r w:rsidR="00C648FA">
        <w:t>ies</w:t>
      </w:r>
      <w:bookmarkEnd w:id="38"/>
    </w:p>
    <w:p w14:paraId="1A1B157F" w14:textId="695665BA" w:rsidR="005C22BC" w:rsidRDefault="005C22BC" w:rsidP="00020050">
      <w:pPr>
        <w:spacing w:after="0"/>
      </w:pPr>
      <w:r>
        <w:t>S</w:t>
      </w:r>
      <w:r w:rsidR="00356C56">
        <w:t xml:space="preserve">ection </w:t>
      </w:r>
      <w:r>
        <w:t>147 of Act sets out the land which is exempt from rates as being:</w:t>
      </w:r>
    </w:p>
    <w:p w14:paraId="1C145C9D" w14:textId="77777777" w:rsidR="005C22BC" w:rsidRDefault="005C22BC" w:rsidP="00471175">
      <w:pPr>
        <w:pStyle w:val="ListParagraph"/>
        <w:numPr>
          <w:ilvl w:val="0"/>
          <w:numId w:val="10"/>
        </w:numPr>
        <w:spacing w:before="240" w:after="200" w:line="276" w:lineRule="auto"/>
      </w:pPr>
      <w:r>
        <w:t>Crown Land</w:t>
      </w:r>
    </w:p>
    <w:p w14:paraId="5431C4B5" w14:textId="2A8C2323" w:rsidR="005C22BC" w:rsidRDefault="005C22BC" w:rsidP="00471175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Land held by the Crown or an instrumentality of the Crown for a public </w:t>
      </w:r>
      <w:r w:rsidR="00DD56DD">
        <w:t>purpose.</w:t>
      </w:r>
    </w:p>
    <w:p w14:paraId="14542D25" w14:textId="071C9BBA" w:rsidR="005C22BC" w:rsidRDefault="005C22BC" w:rsidP="00471175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Land occupied by a </w:t>
      </w:r>
      <w:r w:rsidR="00DD56DD">
        <w:t>university.</w:t>
      </w:r>
    </w:p>
    <w:p w14:paraId="7C54B2AA" w14:textId="77777777" w:rsidR="005C22BC" w:rsidRDefault="005C22BC" w:rsidP="00471175">
      <w:pPr>
        <w:pStyle w:val="ListParagraph"/>
        <w:numPr>
          <w:ilvl w:val="0"/>
          <w:numId w:val="10"/>
        </w:numPr>
        <w:spacing w:after="200" w:line="276" w:lineRule="auto"/>
      </w:pPr>
      <w:r>
        <w:t>Land exempt from rates and taxes under the Recreation Grounds Rates and Taxes Exemption Act 1981</w:t>
      </w:r>
    </w:p>
    <w:p w14:paraId="585715DF" w14:textId="33A4DB30" w:rsidR="005C22BC" w:rsidRDefault="005C22BC" w:rsidP="00471175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Land occupied by the Council except where under a lease or </w:t>
      </w:r>
      <w:r w:rsidR="00DD56DD">
        <w:t>licence.</w:t>
      </w:r>
    </w:p>
    <w:p w14:paraId="1FEEFE6E" w14:textId="764E4DFA" w:rsidR="005C22BC" w:rsidRDefault="005C22BC" w:rsidP="00471175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Land occupied by a </w:t>
      </w:r>
      <w:r w:rsidR="00DD56DD">
        <w:t>subsidiary.</w:t>
      </w:r>
    </w:p>
    <w:p w14:paraId="2EA38373" w14:textId="21D64018" w:rsidR="005C22BC" w:rsidRDefault="005C22BC" w:rsidP="00471175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Land occupied or held by an emergency </w:t>
      </w:r>
      <w:r w:rsidR="00DD56DD">
        <w:t>service</w:t>
      </w:r>
      <w:r>
        <w:t xml:space="preserve"> </w:t>
      </w:r>
      <w:r w:rsidR="00DD56DD">
        <w:t>organisation.</w:t>
      </w:r>
    </w:p>
    <w:p w14:paraId="51F6A32D" w14:textId="77777777" w:rsidR="00356C56" w:rsidRDefault="005C22BC" w:rsidP="00471175">
      <w:pPr>
        <w:pStyle w:val="ListParagraph"/>
        <w:numPr>
          <w:ilvl w:val="0"/>
          <w:numId w:val="10"/>
        </w:numPr>
        <w:spacing w:after="200" w:line="276" w:lineRule="auto"/>
      </w:pPr>
      <w:r>
        <w:lastRenderedPageBreak/>
        <w:t>Land exempt from Council rates by another Act</w:t>
      </w:r>
    </w:p>
    <w:p w14:paraId="7DDECB5D" w14:textId="35D120EF" w:rsidR="00356C56" w:rsidRPr="00CB622F" w:rsidRDefault="00445073" w:rsidP="00020050">
      <w:pPr>
        <w:spacing w:after="200" w:line="276" w:lineRule="auto"/>
      </w:pPr>
      <w:r>
        <w:t>Non-</w:t>
      </w:r>
      <w:r w:rsidR="00F906A0">
        <w:t>r</w:t>
      </w:r>
      <w:r>
        <w:t>ateable</w:t>
      </w:r>
      <w:r w:rsidR="00195080">
        <w:t xml:space="preserve"> properties will still incur Service Rates and Charges.</w:t>
      </w:r>
    </w:p>
    <w:p w14:paraId="22D346F6" w14:textId="604D1F28" w:rsidR="005C22BC" w:rsidRPr="0048309F" w:rsidRDefault="005C22BC" w:rsidP="00084C2B">
      <w:pPr>
        <w:pStyle w:val="Heading1"/>
      </w:pPr>
      <w:bookmarkStart w:id="39" w:name="_Toc148095014"/>
      <w:r w:rsidRPr="0048309F">
        <w:t>Rate Rebates</w:t>
      </w:r>
      <w:bookmarkEnd w:id="39"/>
      <w:r w:rsidRPr="0048309F">
        <w:t xml:space="preserve"> </w:t>
      </w:r>
    </w:p>
    <w:p w14:paraId="1E56006B" w14:textId="0F43ECE0" w:rsidR="005C22BC" w:rsidRDefault="005C22BC" w:rsidP="00020050">
      <w:pPr>
        <w:spacing w:after="0"/>
      </w:pPr>
      <w:r>
        <w:t xml:space="preserve">The Act requires Councils to rebate the rates payable for certain </w:t>
      </w:r>
      <w:r w:rsidR="00F906A0">
        <w:t>Land Use</w:t>
      </w:r>
      <w:r>
        <w:t>s</w:t>
      </w:r>
      <w:r w:rsidR="00157D6F">
        <w:t xml:space="preserve"> (</w:t>
      </w:r>
      <w:r w:rsidR="00F906A0">
        <w:t>'</w:t>
      </w:r>
      <w:r w:rsidR="00157D6F">
        <w:t>Mandatory</w:t>
      </w:r>
      <w:r w:rsidR="00F906A0">
        <w:t>'</w:t>
      </w:r>
      <w:r w:rsidR="00157D6F">
        <w:t xml:space="preserve"> Rate Rebates)</w:t>
      </w:r>
      <w:r w:rsidR="005A5B4A">
        <w:t>:</w:t>
      </w:r>
    </w:p>
    <w:p w14:paraId="645AD36C" w14:textId="77777777" w:rsidR="00157D6F" w:rsidRDefault="00157D6F" w:rsidP="0087000B">
      <w:pPr>
        <w:pStyle w:val="ListParagraph"/>
        <w:numPr>
          <w:ilvl w:val="0"/>
          <w:numId w:val="11"/>
        </w:numPr>
        <w:spacing w:before="240" w:after="200" w:line="276" w:lineRule="auto"/>
        <w:ind w:left="709" w:hanging="425"/>
      </w:pPr>
      <w:r>
        <w:t>Section 160 – Health Services</w:t>
      </w:r>
    </w:p>
    <w:p w14:paraId="0B6DCC2D" w14:textId="77777777" w:rsidR="00475D53" w:rsidRDefault="00157D6F" w:rsidP="0087000B">
      <w:pPr>
        <w:pStyle w:val="ListParagraph"/>
        <w:numPr>
          <w:ilvl w:val="0"/>
          <w:numId w:val="11"/>
        </w:numPr>
        <w:spacing w:after="200" w:line="276" w:lineRule="auto"/>
        <w:ind w:left="709" w:hanging="425"/>
      </w:pPr>
      <w:r>
        <w:t>Section 161 – Community Services</w:t>
      </w:r>
      <w:r w:rsidR="00475D53">
        <w:t xml:space="preserve">   </w:t>
      </w:r>
    </w:p>
    <w:p w14:paraId="0E3E8A15" w14:textId="77777777" w:rsidR="005C22BC" w:rsidRPr="00CB622F" w:rsidRDefault="005C22BC" w:rsidP="0087000B">
      <w:pPr>
        <w:pStyle w:val="ListParagraph"/>
        <w:numPr>
          <w:ilvl w:val="0"/>
          <w:numId w:val="11"/>
        </w:numPr>
        <w:spacing w:after="200" w:line="276" w:lineRule="auto"/>
        <w:ind w:left="709" w:hanging="425"/>
      </w:pPr>
      <w:r w:rsidRPr="00CB622F">
        <w:t>S</w:t>
      </w:r>
      <w:r w:rsidR="00157D6F">
        <w:t xml:space="preserve">ection </w:t>
      </w:r>
      <w:r w:rsidRPr="00CB622F">
        <w:t xml:space="preserve">162 -  Religious Purposes </w:t>
      </w:r>
    </w:p>
    <w:p w14:paraId="1043EFCB" w14:textId="77777777" w:rsidR="005C22BC" w:rsidRDefault="005C22BC" w:rsidP="0087000B">
      <w:pPr>
        <w:pStyle w:val="ListParagraph"/>
        <w:numPr>
          <w:ilvl w:val="0"/>
          <w:numId w:val="11"/>
        </w:numPr>
        <w:spacing w:after="200" w:line="276" w:lineRule="auto"/>
        <w:ind w:left="709" w:hanging="425"/>
      </w:pPr>
      <w:r w:rsidRPr="00CB622F">
        <w:t>S</w:t>
      </w:r>
      <w:r w:rsidR="00157D6F">
        <w:t xml:space="preserve">ection </w:t>
      </w:r>
      <w:r w:rsidRPr="00CB622F">
        <w:t>163 – Public Cemeteries</w:t>
      </w:r>
    </w:p>
    <w:p w14:paraId="19530003" w14:textId="77777777" w:rsidR="005A5B4A" w:rsidRPr="00CB622F" w:rsidRDefault="005A5B4A" w:rsidP="0087000B">
      <w:pPr>
        <w:pStyle w:val="ListParagraph"/>
        <w:numPr>
          <w:ilvl w:val="0"/>
          <w:numId w:val="11"/>
        </w:numPr>
        <w:spacing w:after="200" w:line="276" w:lineRule="auto"/>
        <w:ind w:left="709" w:hanging="425"/>
      </w:pPr>
      <w:r>
        <w:t>Section 164 – Royal Zoological Society of SA</w:t>
      </w:r>
    </w:p>
    <w:p w14:paraId="20342E96" w14:textId="77777777" w:rsidR="005C22BC" w:rsidRPr="00CB622F" w:rsidRDefault="005C22BC" w:rsidP="0087000B">
      <w:pPr>
        <w:pStyle w:val="ListParagraph"/>
        <w:numPr>
          <w:ilvl w:val="0"/>
          <w:numId w:val="11"/>
        </w:numPr>
        <w:spacing w:after="200" w:line="276" w:lineRule="auto"/>
        <w:ind w:left="709" w:hanging="425"/>
      </w:pPr>
      <w:r w:rsidRPr="00CB622F">
        <w:t>S</w:t>
      </w:r>
      <w:r w:rsidR="00157D6F">
        <w:t xml:space="preserve">ection </w:t>
      </w:r>
      <w:r w:rsidRPr="00CB622F">
        <w:t xml:space="preserve">165 – Educational Purposes </w:t>
      </w:r>
    </w:p>
    <w:p w14:paraId="0CEBEC83" w14:textId="1FCCE71A" w:rsidR="005C22BC" w:rsidRDefault="005C22BC" w:rsidP="00020050">
      <w:pPr>
        <w:spacing w:after="0"/>
      </w:pPr>
      <w:r>
        <w:t>Councils also have a general power to grant</w:t>
      </w:r>
      <w:r w:rsidR="00245456">
        <w:t xml:space="preserve"> discretionary</w:t>
      </w:r>
      <w:r>
        <w:t xml:space="preserve"> rebates and remissions</w:t>
      </w:r>
      <w:r w:rsidR="00157D6F">
        <w:t xml:space="preserve"> in accordance with Section</w:t>
      </w:r>
      <w:r w:rsidR="0087000B">
        <w:t>s</w:t>
      </w:r>
      <w:r w:rsidR="00157D6F">
        <w:t xml:space="preserve"> 166 &amp; 182 of the Local Government Act</w:t>
      </w:r>
      <w:r w:rsidR="00CF1391">
        <w:t xml:space="preserve"> 1999</w:t>
      </w:r>
      <w:r>
        <w:t>.</w:t>
      </w:r>
      <w:r w:rsidR="00F906A0">
        <w:t xml:space="preserve"> </w:t>
      </w:r>
      <w:r>
        <w:t xml:space="preserve"> The exercise of this power allows for</w:t>
      </w:r>
      <w:r w:rsidR="0087000B">
        <w:t xml:space="preserve"> the following</w:t>
      </w:r>
      <w:r>
        <w:t xml:space="preserve">:  </w:t>
      </w:r>
    </w:p>
    <w:p w14:paraId="51DD2406" w14:textId="77777777" w:rsidR="005C22BC" w:rsidRDefault="005C22BC" w:rsidP="00471175">
      <w:pPr>
        <w:pStyle w:val="ListParagraph"/>
        <w:numPr>
          <w:ilvl w:val="0"/>
          <w:numId w:val="5"/>
        </w:numPr>
        <w:spacing w:before="240" w:after="200" w:line="276" w:lineRule="auto"/>
      </w:pPr>
      <w:r>
        <w:t xml:space="preserve">Local discretion; </w:t>
      </w:r>
    </w:p>
    <w:p w14:paraId="2BBBCA21" w14:textId="77777777" w:rsidR="005C22BC" w:rsidRDefault="005C22BC" w:rsidP="00471175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The pursuit of local policy objectives; </w:t>
      </w:r>
    </w:p>
    <w:p w14:paraId="5E46268F" w14:textId="77777777" w:rsidR="005C22BC" w:rsidRDefault="005C22BC" w:rsidP="00471175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Assistance to community organisations; </w:t>
      </w:r>
    </w:p>
    <w:p w14:paraId="44421C3B" w14:textId="37F4495F" w:rsidR="005C22BC" w:rsidRDefault="005C22BC" w:rsidP="00471175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Assistance to local businesses and </w:t>
      </w:r>
    </w:p>
    <w:p w14:paraId="3741ECEF" w14:textId="77777777" w:rsidR="005C22BC" w:rsidRDefault="005C22BC" w:rsidP="00471175">
      <w:pPr>
        <w:pStyle w:val="ListParagraph"/>
        <w:numPr>
          <w:ilvl w:val="0"/>
          <w:numId w:val="5"/>
        </w:numPr>
        <w:spacing w:after="200" w:line="276" w:lineRule="auto"/>
      </w:pPr>
      <w:r>
        <w:t>Assistance in the case of hardship.</w:t>
      </w:r>
    </w:p>
    <w:p w14:paraId="35E5EE96" w14:textId="499AF32A" w:rsidR="001E7463" w:rsidRDefault="001E7463" w:rsidP="001E7463">
      <w:pPr>
        <w:spacing w:after="200" w:line="276" w:lineRule="auto"/>
        <w:contextualSpacing/>
      </w:pPr>
      <w:r>
        <w:t>Councils can provide Rate Rebates for many reasons</w:t>
      </w:r>
      <w:r w:rsidR="0087000B">
        <w:t>,</w:t>
      </w:r>
      <w:r>
        <w:t xml:space="preserve"> including to assist ratepayers:</w:t>
      </w:r>
    </w:p>
    <w:p w14:paraId="32ACE9F9" w14:textId="77777777" w:rsidR="001E7463" w:rsidRDefault="001E7463" w:rsidP="001E7463">
      <w:pPr>
        <w:spacing w:after="0" w:line="276" w:lineRule="auto"/>
        <w:contextualSpacing/>
      </w:pPr>
    </w:p>
    <w:p w14:paraId="71B477E3" w14:textId="7CABB995" w:rsidR="001E7463" w:rsidRDefault="001E7463" w:rsidP="0087000B">
      <w:pPr>
        <w:numPr>
          <w:ilvl w:val="0"/>
          <w:numId w:val="22"/>
        </w:numPr>
        <w:spacing w:before="240" w:after="200" w:line="276" w:lineRule="auto"/>
        <w:contextualSpacing/>
      </w:pPr>
      <w:r>
        <w:t>To support certain activities</w:t>
      </w:r>
    </w:p>
    <w:p w14:paraId="634F7BF9" w14:textId="461BEA32" w:rsidR="001E7463" w:rsidRDefault="001E7463" w:rsidP="0087000B">
      <w:pPr>
        <w:numPr>
          <w:ilvl w:val="0"/>
          <w:numId w:val="22"/>
        </w:numPr>
        <w:spacing w:before="240" w:after="200" w:line="276" w:lineRule="auto"/>
        <w:contextualSpacing/>
      </w:pPr>
      <w:r>
        <w:t xml:space="preserve">Where there are </w:t>
      </w:r>
      <w:r w:rsidR="0087000B">
        <w:t>significant</w:t>
      </w:r>
      <w:r>
        <w:t xml:space="preserve"> increases in valuations for only some properties</w:t>
      </w:r>
      <w:r w:rsidR="00F906A0">
        <w:t>,</w:t>
      </w:r>
      <w:r>
        <w:t xml:space="preserve"> resulting in s</w:t>
      </w:r>
      <w:r w:rsidR="0087000B">
        <w:t>ubstantial</w:t>
      </w:r>
      <w:r>
        <w:t xml:space="preserve"> increases in rates</w:t>
      </w:r>
    </w:p>
    <w:p w14:paraId="123D58C1" w14:textId="6B5B8697" w:rsidR="001E7463" w:rsidRDefault="001E7463" w:rsidP="0087000B">
      <w:pPr>
        <w:numPr>
          <w:ilvl w:val="0"/>
          <w:numId w:val="22"/>
        </w:numPr>
        <w:spacing w:before="240" w:after="200" w:line="276" w:lineRule="auto"/>
        <w:contextualSpacing/>
      </w:pPr>
      <w:r>
        <w:t xml:space="preserve">Where there is a change in the basis of </w:t>
      </w:r>
      <w:r w:rsidR="0087000B">
        <w:t>r</w:t>
      </w:r>
      <w:r>
        <w:t>ating</w:t>
      </w:r>
      <w:r w:rsidR="0087000B">
        <w:t xml:space="preserve">, some ratepayers </w:t>
      </w:r>
      <w:r w:rsidR="00EE687F">
        <w:t xml:space="preserve">may face </w:t>
      </w:r>
      <w:r w:rsidR="0087000B">
        <w:t>significant rate increas</w:t>
      </w:r>
      <w:r>
        <w:t>es.</w:t>
      </w:r>
    </w:p>
    <w:p w14:paraId="17948C4E" w14:textId="77777777" w:rsidR="001E7463" w:rsidRDefault="001E7463" w:rsidP="001E7463">
      <w:pPr>
        <w:spacing w:after="200" w:line="276" w:lineRule="auto"/>
        <w:ind w:left="720"/>
        <w:contextualSpacing/>
      </w:pPr>
    </w:p>
    <w:p w14:paraId="16973FF1" w14:textId="1E167AE7" w:rsidR="001507CB" w:rsidRDefault="0087000B" w:rsidP="001507CB">
      <w:pPr>
        <w:spacing w:after="0"/>
      </w:pPr>
      <w:r>
        <w:t>The C</w:t>
      </w:r>
      <w:r w:rsidR="001E7463">
        <w:t>ouncil must be mindful that when providing rebates, the same level of rates is still required for Council</w:t>
      </w:r>
      <w:r w:rsidR="00F906A0">
        <w:t>'</w:t>
      </w:r>
      <w:r w:rsidR="001E7463">
        <w:t>s budget.</w:t>
      </w:r>
      <w:r w:rsidR="00F906A0">
        <w:t xml:space="preserve"> </w:t>
      </w:r>
      <w:r w:rsidR="001E7463">
        <w:t xml:space="preserve"> If some ratepayers are provided rebates, all the other ratepayers will need to pay more.</w:t>
      </w:r>
    </w:p>
    <w:p w14:paraId="090BBF32" w14:textId="628060BF" w:rsidR="005C22BC" w:rsidRPr="0048309F" w:rsidRDefault="005C22BC" w:rsidP="00032509">
      <w:pPr>
        <w:pStyle w:val="Heading2"/>
      </w:pPr>
      <w:bookmarkStart w:id="40" w:name="_Toc148095015"/>
      <w:r w:rsidRPr="0048309F">
        <w:t>Postponement of Rates</w:t>
      </w:r>
      <w:bookmarkEnd w:id="40"/>
    </w:p>
    <w:p w14:paraId="22B29CA9" w14:textId="77777777" w:rsidR="005C22BC" w:rsidRPr="00DA2A8F" w:rsidRDefault="005C22BC" w:rsidP="00032509">
      <w:pPr>
        <w:pStyle w:val="Heading3"/>
      </w:pPr>
      <w:r w:rsidRPr="00DA2A8F">
        <w:t>Hardship</w:t>
      </w:r>
    </w:p>
    <w:p w14:paraId="3930BB6A" w14:textId="29628981" w:rsidR="005C22BC" w:rsidRDefault="005C22BC" w:rsidP="00032509">
      <w:r>
        <w:t xml:space="preserve">Councils can wholly or partially postpone rates </w:t>
      </w:r>
      <w:r w:rsidR="005A5B4A">
        <w:t>based on</w:t>
      </w:r>
      <w:r>
        <w:t xml:space="preserve"> hardship</w:t>
      </w:r>
      <w:r w:rsidR="00CF1391">
        <w:t xml:space="preserve"> in accordance with Section 182 of the Act</w:t>
      </w:r>
      <w:r>
        <w:t>.</w:t>
      </w:r>
    </w:p>
    <w:p w14:paraId="1D9297F1" w14:textId="77777777" w:rsidR="005C22BC" w:rsidRPr="0048309F" w:rsidRDefault="005C22BC" w:rsidP="00032509">
      <w:pPr>
        <w:pStyle w:val="Heading3"/>
      </w:pPr>
      <w:r w:rsidRPr="0048309F">
        <w:t>Businesses</w:t>
      </w:r>
    </w:p>
    <w:p w14:paraId="1BDBC880" w14:textId="77777777" w:rsidR="005C22BC" w:rsidRDefault="005C22BC" w:rsidP="00032509">
      <w:r>
        <w:t>Councils can grant postponements of rates to assist or support a business in its area.</w:t>
      </w:r>
    </w:p>
    <w:p w14:paraId="02E91CCB" w14:textId="77777777" w:rsidR="005C22BC" w:rsidRPr="0048309F" w:rsidRDefault="00C77DA9" w:rsidP="00032509">
      <w:pPr>
        <w:pStyle w:val="Heading3"/>
      </w:pPr>
      <w:r w:rsidRPr="0048309F">
        <w:t>Seniors</w:t>
      </w:r>
    </w:p>
    <w:p w14:paraId="440241A2" w14:textId="26BFCDFB" w:rsidR="00CA40F7" w:rsidRDefault="00C77DA9" w:rsidP="00032509">
      <w:r w:rsidRPr="006A3214">
        <w:t xml:space="preserve">Ratepayers who hold a Seniors Card </w:t>
      </w:r>
      <w:r w:rsidR="005A5B4A" w:rsidRPr="006A3214">
        <w:t>can</w:t>
      </w:r>
      <w:r w:rsidRPr="006A3214">
        <w:t xml:space="preserve"> apply to Council to postpone payment of </w:t>
      </w:r>
      <w:r>
        <w:t>the</w:t>
      </w:r>
      <w:r w:rsidRPr="006A3214">
        <w:t xml:space="preserve"> portion of rates on their principal place of residence</w:t>
      </w:r>
      <w:r>
        <w:t xml:space="preserve"> that exceeds $500</w:t>
      </w:r>
      <w:r w:rsidRPr="006A3214">
        <w:t>.</w:t>
      </w:r>
      <w:r w:rsidR="00F906A0">
        <w:t xml:space="preserve"> </w:t>
      </w:r>
      <w:r w:rsidRPr="006A3214">
        <w:t xml:space="preserve"> </w:t>
      </w:r>
      <w:r w:rsidR="0087000B">
        <w:t xml:space="preserve">A Council may reject an application for </w:t>
      </w:r>
      <w:r w:rsidR="00EE687F">
        <w:t xml:space="preserve">a </w:t>
      </w:r>
      <w:r w:rsidR="0087000B">
        <w:lastRenderedPageBreak/>
        <w:t xml:space="preserve">postponement if the amount postponed </w:t>
      </w:r>
      <w:r w:rsidR="00EE687F">
        <w:t>exceeds</w:t>
      </w:r>
      <w:r w:rsidR="0087000B">
        <w:t xml:space="preserve"> 50% of the capital value of the land.</w:t>
      </w:r>
      <w:r w:rsidR="00F906A0">
        <w:t xml:space="preserve"> </w:t>
      </w:r>
      <w:r w:rsidR="0087000B">
        <w:t xml:space="preserve"> Postponed rates remain a charge on the land and are not required to be repaid until the property is sold or disposed of</w:t>
      </w:r>
      <w:r w:rsidR="00CA40F7">
        <w:t>.</w:t>
      </w:r>
      <w:r>
        <w:t xml:space="preserve"> </w:t>
      </w:r>
    </w:p>
    <w:p w14:paraId="259CABF0" w14:textId="2BE015E7" w:rsidR="00C77DA9" w:rsidRDefault="00CA40F7" w:rsidP="00032509">
      <w:r>
        <w:t>Interest</w:t>
      </w:r>
      <w:r w:rsidR="00C77DA9">
        <w:t xml:space="preserve"> accrues on the amount affected by the postponement</w:t>
      </w:r>
      <w:r w:rsidR="00804C58">
        <w:t xml:space="preserve"> in accordance with the prescribed interest rate</w:t>
      </w:r>
      <w:r w:rsidR="00C77DA9">
        <w:t>.</w:t>
      </w:r>
    </w:p>
    <w:p w14:paraId="320CBBA5" w14:textId="77777777" w:rsidR="001507CB" w:rsidRPr="001507CB" w:rsidRDefault="001507CB" w:rsidP="00032509">
      <w:pPr>
        <w:pStyle w:val="Heading2"/>
        <w:rPr>
          <w:rFonts w:eastAsiaTheme="majorEastAsia"/>
        </w:rPr>
      </w:pPr>
      <w:bookmarkStart w:id="41" w:name="_Toc148095016"/>
      <w:r w:rsidRPr="001507CB">
        <w:rPr>
          <w:rFonts w:eastAsiaTheme="majorEastAsia"/>
        </w:rPr>
        <w:t>Unusual Events</w:t>
      </w:r>
      <w:bookmarkEnd w:id="41"/>
    </w:p>
    <w:p w14:paraId="2D876689" w14:textId="274DD55A" w:rsidR="001507CB" w:rsidRPr="001507CB" w:rsidRDefault="001507CB" w:rsidP="001507CB">
      <w:r w:rsidRPr="001507CB">
        <w:t>Councils may assist ratepayers affected by unusual events by postponing payments, not charging fines and interest, or offering rebates.</w:t>
      </w:r>
      <w:r w:rsidR="00F906A0">
        <w:t xml:space="preserve"> </w:t>
      </w:r>
      <w:r w:rsidRPr="001507CB">
        <w:t xml:space="preserve"> Unusual events can include;</w:t>
      </w:r>
    </w:p>
    <w:p w14:paraId="3E755516" w14:textId="77777777" w:rsidR="001507CB" w:rsidRPr="001507CB" w:rsidRDefault="001507CB" w:rsidP="0087000B">
      <w:pPr>
        <w:numPr>
          <w:ilvl w:val="0"/>
          <w:numId w:val="14"/>
        </w:numPr>
        <w:contextualSpacing/>
      </w:pPr>
      <w:r w:rsidRPr="001507CB">
        <w:t>Fires</w:t>
      </w:r>
    </w:p>
    <w:p w14:paraId="364DF320" w14:textId="77777777" w:rsidR="001507CB" w:rsidRPr="001507CB" w:rsidRDefault="001507CB" w:rsidP="0087000B">
      <w:pPr>
        <w:numPr>
          <w:ilvl w:val="0"/>
          <w:numId w:val="14"/>
        </w:numPr>
        <w:contextualSpacing/>
      </w:pPr>
      <w:r w:rsidRPr="001507CB">
        <w:t>Floods</w:t>
      </w:r>
    </w:p>
    <w:p w14:paraId="6774ED10" w14:textId="77777777" w:rsidR="001507CB" w:rsidRPr="001507CB" w:rsidRDefault="001507CB" w:rsidP="0087000B">
      <w:pPr>
        <w:numPr>
          <w:ilvl w:val="0"/>
          <w:numId w:val="14"/>
        </w:numPr>
        <w:contextualSpacing/>
      </w:pPr>
      <w:r w:rsidRPr="001507CB">
        <w:t>Drought</w:t>
      </w:r>
    </w:p>
    <w:p w14:paraId="0BB761DF" w14:textId="77777777" w:rsidR="001507CB" w:rsidRPr="001507CB" w:rsidRDefault="001507CB" w:rsidP="0087000B">
      <w:pPr>
        <w:numPr>
          <w:ilvl w:val="0"/>
          <w:numId w:val="14"/>
        </w:numPr>
        <w:contextualSpacing/>
      </w:pPr>
      <w:r w:rsidRPr="001507CB">
        <w:t>Covid-19</w:t>
      </w:r>
    </w:p>
    <w:p w14:paraId="067CD6A1" w14:textId="43E113A0" w:rsidR="00C77DA9" w:rsidRPr="00FD1F25" w:rsidRDefault="003854BC" w:rsidP="00032509">
      <w:pPr>
        <w:pStyle w:val="Heading1"/>
      </w:pPr>
      <w:bookmarkStart w:id="42" w:name="_Toc148095017"/>
      <w:r w:rsidRPr="00FD1F25">
        <w:t xml:space="preserve">District Council of </w:t>
      </w:r>
      <w:r w:rsidR="00030011">
        <w:t>Tumby Bay</w:t>
      </w:r>
      <w:r w:rsidR="00F906A0">
        <w:t>'</w:t>
      </w:r>
      <w:r w:rsidR="00030011">
        <w:t xml:space="preserve">s </w:t>
      </w:r>
      <w:r w:rsidR="00C77DA9" w:rsidRPr="00FD1F25">
        <w:t xml:space="preserve">Current Rating </w:t>
      </w:r>
      <w:r w:rsidR="0009783E">
        <w:t>System</w:t>
      </w:r>
      <w:bookmarkEnd w:id="42"/>
    </w:p>
    <w:p w14:paraId="7E429A0E" w14:textId="5E9A5957" w:rsidR="00F70522" w:rsidRPr="0048309F" w:rsidRDefault="00F70522" w:rsidP="008749D6">
      <w:pPr>
        <w:pStyle w:val="Heading2"/>
      </w:pPr>
      <w:bookmarkStart w:id="43" w:name="_Toc148095018"/>
      <w:r w:rsidRPr="0048309F">
        <w:t>Land Valuation</w:t>
      </w:r>
      <w:bookmarkEnd w:id="43"/>
    </w:p>
    <w:p w14:paraId="4CADA6D5" w14:textId="6FFEA164" w:rsidR="003854BC" w:rsidRDefault="0087000B" w:rsidP="001507CB">
      <w:r w:rsidRPr="00FD1F25">
        <w:t xml:space="preserve">The </w:t>
      </w:r>
      <w:r w:rsidR="003854BC" w:rsidRPr="00FD1F25">
        <w:t xml:space="preserve">District Council of </w:t>
      </w:r>
      <w:r w:rsidR="00030011">
        <w:t>Tumby Bay</w:t>
      </w:r>
      <w:r w:rsidR="001507CB" w:rsidRPr="00FD1F25">
        <w:t xml:space="preserve"> uses the </w:t>
      </w:r>
      <w:r w:rsidR="003854BC" w:rsidRPr="00FD1F25">
        <w:rPr>
          <w:b/>
        </w:rPr>
        <w:t>Site Value</w:t>
      </w:r>
      <w:r w:rsidR="001507CB" w:rsidRPr="00FD1F25">
        <w:rPr>
          <w:b/>
        </w:rPr>
        <w:t xml:space="preserve"> </w:t>
      </w:r>
      <w:r w:rsidR="001507CB" w:rsidRPr="00FD1F25">
        <w:t xml:space="preserve">provided annually by the Valuer-General </w:t>
      </w:r>
      <w:r w:rsidRPr="00FD1F25">
        <w:t>to rate</w:t>
      </w:r>
      <w:r w:rsidR="001507CB" w:rsidRPr="00E95005">
        <w:t xml:space="preserve"> </w:t>
      </w:r>
      <w:r w:rsidR="001507CB">
        <w:t>property within its area.</w:t>
      </w:r>
      <w:r w:rsidR="00F906A0">
        <w:t xml:space="preserve"> </w:t>
      </w:r>
      <w:r w:rsidR="001507CB">
        <w:t xml:space="preserve"> </w:t>
      </w:r>
      <w:r w:rsidR="003854BC">
        <w:t>Legislation changes now require that Council move</w:t>
      </w:r>
      <w:r>
        <w:t xml:space="preserve"> from</w:t>
      </w:r>
      <w:r w:rsidR="003854BC">
        <w:t xml:space="preserve"> Site Value to Capital Value.</w:t>
      </w:r>
    </w:p>
    <w:p w14:paraId="3AA3E1C0" w14:textId="10DA5BF8" w:rsidR="001507CB" w:rsidRDefault="001507CB" w:rsidP="001507CB">
      <w:r>
        <w:t xml:space="preserve">The Capital Value includes </w:t>
      </w:r>
      <w:r w:rsidR="0087000B">
        <w:t>the land</w:t>
      </w:r>
      <w:r w:rsidR="00F906A0">
        <w:t>'</w:t>
      </w:r>
      <w:r w:rsidR="0087000B">
        <w:t>s value</w:t>
      </w:r>
      <w:r>
        <w:t xml:space="preserve"> and any improvements to the land (such as housing).</w:t>
      </w:r>
      <w:r w:rsidR="00F906A0">
        <w:t xml:space="preserve"> </w:t>
      </w:r>
      <w:r>
        <w:t xml:space="preserve"> This method results in higher</w:t>
      </w:r>
      <w:r w:rsidR="0087000B">
        <w:t>-</w:t>
      </w:r>
      <w:r>
        <w:t>valued properties (such as land with a larger</w:t>
      </w:r>
      <w:r w:rsidR="0087000B">
        <w:t>,</w:t>
      </w:r>
      <w:r>
        <w:t xml:space="preserve"> more expensive house) being rated higher than lower</w:t>
      </w:r>
      <w:r w:rsidR="0087000B">
        <w:t>-</w:t>
      </w:r>
      <w:r>
        <w:t>valued properties (such as land with a small house).</w:t>
      </w:r>
    </w:p>
    <w:p w14:paraId="3C184895" w14:textId="28E2952B" w:rsidR="001507CB" w:rsidRDefault="001507CB" w:rsidP="001507CB">
      <w:r>
        <w:t>The Valuer-General analyses the sales of all property types to determine market movements, if any.</w:t>
      </w:r>
      <w:r w:rsidR="00F906A0">
        <w:t xml:space="preserve"> </w:t>
      </w:r>
      <w:r>
        <w:t xml:space="preserve"> </w:t>
      </w:r>
      <w:r w:rsidRPr="00481B98">
        <w:t>This analysis of sales happens continuously throughout the year</w:t>
      </w:r>
      <w:r>
        <w:t>.</w:t>
      </w:r>
      <w:r w:rsidR="00F906A0">
        <w:t xml:space="preserve"> </w:t>
      </w:r>
      <w:r w:rsidRPr="00481B98">
        <w:t xml:space="preserve"> The Valuer-General advises that different market movements can occur amongst varying property types and localities. </w:t>
      </w:r>
    </w:p>
    <w:p w14:paraId="0AA56110" w14:textId="55FAB849" w:rsidR="001507CB" w:rsidRDefault="001507CB" w:rsidP="001507CB">
      <w:r w:rsidRPr="00481B98">
        <w:t xml:space="preserve">Certain properties may be eligible for a notional (concessional) value under the </w:t>
      </w:r>
      <w:r w:rsidRPr="00CF61D7">
        <w:rPr>
          <w:i/>
          <w:iCs/>
        </w:rPr>
        <w:t>Valuation of Land Act 1971</w:t>
      </w:r>
      <w:r>
        <w:t>.</w:t>
      </w:r>
      <w:r w:rsidR="00F906A0">
        <w:t xml:space="preserve"> </w:t>
      </w:r>
      <w:r>
        <w:t xml:space="preserve"> </w:t>
      </w:r>
      <w:r w:rsidRPr="00481B98">
        <w:t>This can relate to certain primary production land or where there is a state heritage recognition.</w:t>
      </w:r>
      <w:r w:rsidR="00F906A0">
        <w:t xml:space="preserve"> </w:t>
      </w:r>
      <w:r w:rsidRPr="00481B98">
        <w:t xml:space="preserve"> A notional value is generally less than the capital value and</w:t>
      </w:r>
      <w:r w:rsidR="0087000B">
        <w:t xml:space="preserve"> will reduce</w:t>
      </w:r>
      <w:r w:rsidRPr="00481B98">
        <w:t xml:space="preserve"> rates</w:t>
      </w:r>
      <w:r w:rsidR="00810373">
        <w:t>.</w:t>
      </w:r>
    </w:p>
    <w:p w14:paraId="22CD54FA" w14:textId="0A579F73" w:rsidR="00C77DA9" w:rsidRDefault="00F70522" w:rsidP="008749D6">
      <w:pPr>
        <w:pStyle w:val="Heading2"/>
      </w:pPr>
      <w:bookmarkStart w:id="44" w:name="_Toc148095019"/>
      <w:r w:rsidRPr="0048309F">
        <w:t xml:space="preserve">Differential Rates </w:t>
      </w:r>
      <w:r w:rsidR="0087000B">
        <w:t>B</w:t>
      </w:r>
      <w:r w:rsidRPr="0048309F">
        <w:t>ased on Locality</w:t>
      </w:r>
      <w:r w:rsidR="001507CB">
        <w:t xml:space="preserve"> and </w:t>
      </w:r>
      <w:r w:rsidR="00F906A0">
        <w:t>Land Use</w:t>
      </w:r>
      <w:bookmarkEnd w:id="44"/>
    </w:p>
    <w:p w14:paraId="5731EB48" w14:textId="4C7FEA9C" w:rsidR="001507CB" w:rsidRDefault="001507CB" w:rsidP="001507CB">
      <w:r w:rsidRPr="00FD1F25">
        <w:t xml:space="preserve">The </w:t>
      </w:r>
      <w:r w:rsidR="00057C20" w:rsidRPr="00FD1F25">
        <w:t xml:space="preserve">District Council of </w:t>
      </w:r>
      <w:r w:rsidR="00030011">
        <w:t>Tumby Bay</w:t>
      </w:r>
      <w:r w:rsidRPr="00FD1F25">
        <w:t xml:space="preserve"> calculates its rates using different rates depending on the differentiating factors of </w:t>
      </w:r>
      <w:r w:rsidR="00F906A0">
        <w:t>L</w:t>
      </w:r>
      <w:r w:rsidRPr="00FD1F25">
        <w:t xml:space="preserve">ocality and </w:t>
      </w:r>
      <w:r w:rsidR="00F906A0">
        <w:t>Land Use</w:t>
      </w:r>
      <w:r w:rsidRPr="00FD1F25">
        <w:t>.</w:t>
      </w:r>
      <w:r w:rsidR="00F906A0">
        <w:t xml:space="preserve"> </w:t>
      </w:r>
      <w:r w:rsidRPr="00FD1F25">
        <w:t xml:space="preserve"> The categories are set out in the following table;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57C20" w:rsidRPr="00F906A0" w14:paraId="2A5DCA69" w14:textId="77777777" w:rsidTr="00965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auto"/>
            </w:tcBorders>
          </w:tcPr>
          <w:p w14:paraId="554A20EA" w14:textId="1EA30C68" w:rsidR="00057C20" w:rsidRPr="00F906A0" w:rsidRDefault="0087000B" w:rsidP="009656E2">
            <w:pPr>
              <w:jc w:val="left"/>
              <w:rPr>
                <w:sz w:val="20"/>
                <w:szCs w:val="20"/>
              </w:rPr>
            </w:pPr>
            <w:r w:rsidRPr="00F906A0">
              <w:rPr>
                <w:sz w:val="20"/>
                <w:szCs w:val="20"/>
              </w:rPr>
              <w:t>The R</w:t>
            </w:r>
            <w:r w:rsidR="00057C20" w:rsidRPr="00F906A0">
              <w:rPr>
                <w:sz w:val="20"/>
                <w:szCs w:val="20"/>
              </w:rPr>
              <w:t xml:space="preserve">ate in Dollar </w:t>
            </w:r>
            <w:r w:rsidRPr="00F906A0">
              <w:rPr>
                <w:sz w:val="20"/>
                <w:szCs w:val="20"/>
              </w:rPr>
              <w:t xml:space="preserve"> (RID) </w:t>
            </w:r>
            <w:r w:rsidR="00057C20" w:rsidRPr="00F906A0">
              <w:rPr>
                <w:sz w:val="20"/>
                <w:szCs w:val="20"/>
              </w:rPr>
              <w:t>Declared for 202</w:t>
            </w:r>
            <w:r w:rsidR="00B63D2E" w:rsidRPr="00F906A0">
              <w:rPr>
                <w:sz w:val="20"/>
                <w:szCs w:val="20"/>
              </w:rPr>
              <w:t>3</w:t>
            </w:r>
            <w:r w:rsidR="00057C20" w:rsidRPr="00F906A0">
              <w:rPr>
                <w:sz w:val="20"/>
                <w:szCs w:val="20"/>
              </w:rPr>
              <w:t>/2</w:t>
            </w:r>
            <w:r w:rsidR="00B63D2E" w:rsidRPr="00F906A0">
              <w:rPr>
                <w:sz w:val="20"/>
                <w:szCs w:val="20"/>
              </w:rPr>
              <w:t>4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14:paraId="17DD9304" w14:textId="1C2BB26C" w:rsidR="00057C20" w:rsidRPr="00F906A0" w:rsidRDefault="00057C20" w:rsidP="00150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06A0">
              <w:rPr>
                <w:sz w:val="20"/>
                <w:szCs w:val="20"/>
              </w:rPr>
              <w:t>Rating Category</w:t>
            </w:r>
          </w:p>
        </w:tc>
      </w:tr>
      <w:tr w:rsidR="00057C20" w:rsidRPr="00F906A0" w14:paraId="2AF0A036" w14:textId="77777777" w:rsidTr="0096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1FD9" w14:textId="1F212A67" w:rsidR="00057C20" w:rsidRPr="00F906A0" w:rsidRDefault="00B63D2E" w:rsidP="001507CB">
            <w:pPr>
              <w:rPr>
                <w:b w:val="0"/>
                <w:bCs w:val="0"/>
                <w:sz w:val="20"/>
                <w:szCs w:val="20"/>
              </w:rPr>
            </w:pPr>
            <w:r w:rsidRPr="00F906A0">
              <w:rPr>
                <w:b w:val="0"/>
                <w:bCs w:val="0"/>
                <w:sz w:val="20"/>
                <w:szCs w:val="20"/>
              </w:rPr>
              <w:t>.0055170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C065" w14:textId="714F3A24" w:rsidR="009656E2" w:rsidRPr="00F906A0" w:rsidRDefault="00B63D2E" w:rsidP="0073115F">
            <w:pPr>
              <w:tabs>
                <w:tab w:val="left" w:leader="do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06A0">
              <w:rPr>
                <w:sz w:val="20"/>
                <w:szCs w:val="20"/>
              </w:rPr>
              <w:t xml:space="preserve">Land within all Townships excluding land with a </w:t>
            </w:r>
            <w:r w:rsidR="00F906A0">
              <w:rPr>
                <w:sz w:val="20"/>
                <w:szCs w:val="20"/>
              </w:rPr>
              <w:t>Land Use</w:t>
            </w:r>
            <w:r w:rsidRPr="00F906A0">
              <w:rPr>
                <w:sz w:val="20"/>
                <w:szCs w:val="20"/>
              </w:rPr>
              <w:t xml:space="preserve"> of Commercial-Shop, Commercial-Office, Commercial-Other, Industry-Light, Industry-Other</w:t>
            </w:r>
          </w:p>
        </w:tc>
      </w:tr>
      <w:tr w:rsidR="00057C20" w:rsidRPr="00F906A0" w14:paraId="12F079B8" w14:textId="77777777" w:rsidTr="00965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42E5" w14:textId="36A663DE" w:rsidR="00057C20" w:rsidRPr="00F906A0" w:rsidRDefault="00B63D2E" w:rsidP="001507CB">
            <w:pPr>
              <w:rPr>
                <w:b w:val="0"/>
                <w:bCs w:val="0"/>
                <w:sz w:val="20"/>
                <w:szCs w:val="20"/>
              </w:rPr>
            </w:pPr>
            <w:r w:rsidRPr="00F906A0">
              <w:rPr>
                <w:b w:val="0"/>
                <w:bCs w:val="0"/>
                <w:sz w:val="20"/>
                <w:szCs w:val="20"/>
              </w:rPr>
              <w:t>.0044666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22A2" w14:textId="67B3AC5A" w:rsidR="009656E2" w:rsidRPr="00F906A0" w:rsidRDefault="00B63D2E" w:rsidP="0015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06A0">
              <w:rPr>
                <w:sz w:val="20"/>
                <w:szCs w:val="20"/>
              </w:rPr>
              <w:t xml:space="preserve">Land with a </w:t>
            </w:r>
            <w:r w:rsidR="00F906A0">
              <w:rPr>
                <w:sz w:val="20"/>
                <w:szCs w:val="20"/>
              </w:rPr>
              <w:t>Land Use</w:t>
            </w:r>
            <w:r w:rsidRPr="00F906A0">
              <w:rPr>
                <w:sz w:val="20"/>
                <w:szCs w:val="20"/>
              </w:rPr>
              <w:t xml:space="preserve"> of Commercial-Shop, Commercial-Office, Commercial-Other, Industry-Light and Industry-Other</w:t>
            </w:r>
          </w:p>
        </w:tc>
      </w:tr>
      <w:tr w:rsidR="0073115F" w:rsidRPr="00F906A0" w14:paraId="33E99CD7" w14:textId="77777777" w:rsidTr="0096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8261" w14:textId="7836B4BA" w:rsidR="0073115F" w:rsidRPr="00F906A0" w:rsidRDefault="00B63D2E" w:rsidP="001507CB">
            <w:pPr>
              <w:rPr>
                <w:b w:val="0"/>
                <w:bCs w:val="0"/>
                <w:sz w:val="20"/>
                <w:szCs w:val="20"/>
              </w:rPr>
            </w:pPr>
            <w:r w:rsidRPr="00F906A0">
              <w:rPr>
                <w:b w:val="0"/>
                <w:bCs w:val="0"/>
                <w:sz w:val="20"/>
                <w:szCs w:val="20"/>
              </w:rPr>
              <w:t>.0757195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ADEF" w14:textId="58C8BED6" w:rsidR="0073115F" w:rsidRPr="00F906A0" w:rsidRDefault="00B63D2E" w:rsidP="00150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F906A0">
              <w:rPr>
                <w:rFonts w:ascii="Calibri" w:hAnsi="Calibri"/>
                <w:sz w:val="20"/>
                <w:szCs w:val="20"/>
                <w:lang w:val="en-US"/>
              </w:rPr>
              <w:t>Land within the Employment (Bulk Handling) Zone</w:t>
            </w:r>
          </w:p>
        </w:tc>
      </w:tr>
      <w:tr w:rsidR="0073115F" w:rsidRPr="00F906A0" w14:paraId="4F534234" w14:textId="77777777" w:rsidTr="00965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08E0" w14:textId="36A5F7C9" w:rsidR="0073115F" w:rsidRPr="00F906A0" w:rsidRDefault="00B63D2E" w:rsidP="001507CB">
            <w:pPr>
              <w:rPr>
                <w:b w:val="0"/>
                <w:bCs w:val="0"/>
                <w:sz w:val="20"/>
                <w:szCs w:val="20"/>
              </w:rPr>
            </w:pPr>
            <w:r w:rsidRPr="00F906A0">
              <w:rPr>
                <w:b w:val="0"/>
                <w:bCs w:val="0"/>
                <w:sz w:val="20"/>
                <w:szCs w:val="20"/>
              </w:rPr>
              <w:t>.0015966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8425" w14:textId="15210017" w:rsidR="0073115F" w:rsidRPr="00F906A0" w:rsidRDefault="00B63D2E" w:rsidP="0015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F906A0">
              <w:rPr>
                <w:rFonts w:ascii="Calibri" w:hAnsi="Calibri"/>
                <w:sz w:val="20"/>
                <w:szCs w:val="20"/>
                <w:lang w:val="en-US"/>
              </w:rPr>
              <w:t>All other land not included above.</w:t>
            </w:r>
          </w:p>
        </w:tc>
      </w:tr>
    </w:tbl>
    <w:p w14:paraId="1230CA45" w14:textId="77777777" w:rsidR="00057C20" w:rsidRPr="001507CB" w:rsidRDefault="00057C20" w:rsidP="001507CB"/>
    <w:p w14:paraId="4C89F667" w14:textId="119EF59D" w:rsidR="00F70522" w:rsidRPr="0048309F" w:rsidRDefault="00D852CE" w:rsidP="008749D6">
      <w:pPr>
        <w:pStyle w:val="Heading2"/>
      </w:pPr>
      <w:bookmarkStart w:id="45" w:name="_Toc148095020"/>
      <w:r>
        <w:t>Fixed Charge</w:t>
      </w:r>
      <w:bookmarkEnd w:id="45"/>
    </w:p>
    <w:p w14:paraId="6D254AB8" w14:textId="61F9CC3A" w:rsidR="00D852CE" w:rsidRDefault="00057C20" w:rsidP="00D852CE">
      <w:r w:rsidRPr="00D852CE">
        <w:t xml:space="preserve">The District Council of </w:t>
      </w:r>
      <w:r w:rsidR="00B63D2E">
        <w:t>Tumby</w:t>
      </w:r>
      <w:r w:rsidR="001507CB" w:rsidRPr="00D852CE">
        <w:t xml:space="preserve"> declares a </w:t>
      </w:r>
      <w:r w:rsidR="00D852CE">
        <w:t>Fixed Charge</w:t>
      </w:r>
      <w:r w:rsidR="001507CB" w:rsidRPr="00D852CE">
        <w:t xml:space="preserve"> ($</w:t>
      </w:r>
      <w:r w:rsidR="00332ECE">
        <w:t>7</w:t>
      </w:r>
      <w:r w:rsidR="00B63D2E">
        <w:t>74</w:t>
      </w:r>
      <w:r w:rsidR="001507CB" w:rsidRPr="00D852CE">
        <w:t xml:space="preserve"> for 20</w:t>
      </w:r>
      <w:r w:rsidR="00B63D2E">
        <w:t>23</w:t>
      </w:r>
      <w:r w:rsidR="001507CB" w:rsidRPr="00D852CE">
        <w:t>/2</w:t>
      </w:r>
      <w:r w:rsidR="00B63D2E">
        <w:t>4</w:t>
      </w:r>
      <w:r w:rsidR="001507CB" w:rsidRPr="00D852CE">
        <w:t>).</w:t>
      </w:r>
      <w:r w:rsidR="00F906A0">
        <w:t xml:space="preserve"> </w:t>
      </w:r>
      <w:r w:rsidR="001507CB" w:rsidRPr="00D852CE">
        <w:t xml:space="preserve"> Rates are calculated by </w:t>
      </w:r>
      <w:r w:rsidR="00D852CE">
        <w:t xml:space="preserve">levying the Fixed Charge against each property and then </w:t>
      </w:r>
      <w:r w:rsidR="00B63D2E">
        <w:t>multiplying</w:t>
      </w:r>
      <w:r w:rsidR="00D852CE">
        <w:t xml:space="preserve"> the property value by the rate in the dollar.</w:t>
      </w:r>
      <w:r w:rsidR="00B63D2E">
        <w:t xml:space="preserve">  The two calculations are added together.</w:t>
      </w:r>
    </w:p>
    <w:p w14:paraId="72043A27" w14:textId="0EC1B976" w:rsidR="007215C1" w:rsidRPr="00D852CE" w:rsidRDefault="001720F0" w:rsidP="00DA2A8F">
      <w:pPr>
        <w:pStyle w:val="Heading1"/>
      </w:pPr>
      <w:bookmarkStart w:id="46" w:name="_Toc148095021"/>
      <w:r w:rsidRPr="00D852CE">
        <w:lastRenderedPageBreak/>
        <w:t xml:space="preserve">District Council of </w:t>
      </w:r>
      <w:r w:rsidR="00032509">
        <w:t>Tumby Bay</w:t>
      </w:r>
      <w:r w:rsidR="00D852CE" w:rsidRPr="00D852CE">
        <w:t xml:space="preserve"> Profile</w:t>
      </w:r>
      <w:bookmarkEnd w:id="46"/>
    </w:p>
    <w:p w14:paraId="2737DBD6" w14:textId="77777777" w:rsidR="007215C1" w:rsidRPr="007215C1" w:rsidRDefault="007215C1" w:rsidP="008749D6">
      <w:pPr>
        <w:pStyle w:val="Heading2"/>
        <w:rPr>
          <w:rFonts w:eastAsiaTheme="majorEastAsia"/>
        </w:rPr>
      </w:pPr>
      <w:bookmarkStart w:id="47" w:name="_Toc466578209"/>
      <w:bookmarkStart w:id="48" w:name="_Toc148095022"/>
      <w:r w:rsidRPr="007215C1">
        <w:rPr>
          <w:rFonts w:eastAsiaTheme="majorEastAsia"/>
        </w:rPr>
        <w:t>Australian Bureau of Statistics</w:t>
      </w:r>
      <w:bookmarkEnd w:id="47"/>
      <w:bookmarkEnd w:id="48"/>
    </w:p>
    <w:p w14:paraId="24F9695A" w14:textId="3AE6E18D" w:rsidR="007215C1" w:rsidRDefault="0087000B" w:rsidP="007215C1">
      <w:r>
        <w:t>Understanding the community profile is essential before</w:t>
      </w:r>
      <w:r w:rsidR="007215C1" w:rsidRPr="007215C1">
        <w:t xml:space="preserve"> making decisions </w:t>
      </w:r>
      <w:r w:rsidR="00EE687F">
        <w:t>affecting the community</w:t>
      </w:r>
      <w:r w:rsidR="007215C1" w:rsidRPr="007215C1">
        <w:t>.</w:t>
      </w:r>
      <w:r w:rsidR="00F906A0">
        <w:t xml:space="preserve"> </w:t>
      </w:r>
      <w:r w:rsidR="007215C1" w:rsidRPr="007215C1">
        <w:t xml:space="preserve"> The Australian Bureau of Statistics has considerable data that can be used.</w:t>
      </w:r>
      <w:r w:rsidR="00F906A0">
        <w:t xml:space="preserve"> </w:t>
      </w:r>
      <w:r w:rsidR="007215C1" w:rsidRPr="007215C1">
        <w:t xml:space="preserve"> The data available is from</w:t>
      </w:r>
      <w:r w:rsidR="00110BD7">
        <w:t xml:space="preserve"> the</w:t>
      </w:r>
      <w:r w:rsidR="007215C1" w:rsidRPr="007215C1">
        <w:t xml:space="preserve"> </w:t>
      </w:r>
      <w:r w:rsidR="000A355D">
        <w:t>2020</w:t>
      </w:r>
      <w:r w:rsidR="007215C1" w:rsidRPr="007215C1">
        <w:t xml:space="preserve"> </w:t>
      </w:r>
      <w:r w:rsidR="00110BD7">
        <w:t xml:space="preserve">Census </w:t>
      </w:r>
      <w:r w:rsidR="007215C1" w:rsidRPr="007215C1">
        <w:t xml:space="preserve">and only reflects the </w:t>
      </w:r>
      <w:r w:rsidR="00F906A0">
        <w:t>'</w:t>
      </w:r>
      <w:r w:rsidR="007215C1" w:rsidRPr="007215C1">
        <w:t>permanent</w:t>
      </w:r>
      <w:r w:rsidR="00F906A0">
        <w:t>'</w:t>
      </w:r>
      <w:r w:rsidR="007215C1" w:rsidRPr="007215C1">
        <w:t xml:space="preserve"> residents of the district.</w:t>
      </w:r>
      <w:r w:rsidR="00F906A0">
        <w:t xml:space="preserve"> </w:t>
      </w:r>
      <w:r w:rsidR="007215C1" w:rsidRPr="007215C1">
        <w:t xml:space="preserve"> The table below shows some of the data for the Council area.</w:t>
      </w:r>
    </w:p>
    <w:p w14:paraId="1775B416" w14:textId="0BF31337" w:rsidR="00237AE8" w:rsidRDefault="00237AE8" w:rsidP="007215C1">
      <w:r>
        <w:t xml:space="preserve">Note that percentages in the following tables do not always add </w:t>
      </w:r>
      <w:r w:rsidR="0087000B">
        <w:t xml:space="preserve">up </w:t>
      </w:r>
      <w:r>
        <w:t>to 100% as not all data is included</w:t>
      </w:r>
      <w:r w:rsidR="0087000B">
        <w:t>,</w:t>
      </w:r>
      <w:r>
        <w:t xml:space="preserve"> and some census respondents did not respond in all categories.</w:t>
      </w:r>
    </w:p>
    <w:p w14:paraId="5D9CA70B" w14:textId="4969078F" w:rsidR="008749D6" w:rsidRPr="008749D6" w:rsidRDefault="008749D6" w:rsidP="00F906A0">
      <w:pPr>
        <w:rPr>
          <w:b/>
          <w:bCs/>
        </w:rPr>
      </w:pPr>
      <w:r>
        <w:rPr>
          <w:b/>
          <w:bCs/>
        </w:rPr>
        <w:t>People</w:t>
      </w:r>
    </w:p>
    <w:tbl>
      <w:tblPr>
        <w:tblStyle w:val="GridTable4-Accent512"/>
        <w:tblW w:w="5000" w:type="pct"/>
        <w:tblLook w:val="0420" w:firstRow="1" w:lastRow="0" w:firstColumn="0" w:lastColumn="0" w:noHBand="0" w:noVBand="1"/>
      </w:tblPr>
      <w:tblGrid>
        <w:gridCol w:w="7649"/>
        <w:gridCol w:w="1367"/>
      </w:tblGrid>
      <w:tr w:rsidR="00110BD7" w:rsidRPr="00757B91" w14:paraId="1A8C02B7" w14:textId="77777777" w:rsidTr="00F90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4242" w:type="pct"/>
            <w:hideMark/>
          </w:tcPr>
          <w:p w14:paraId="099779BE" w14:textId="279580E8" w:rsidR="00110BD7" w:rsidRPr="00757B91" w:rsidRDefault="00110BD7" w:rsidP="007215C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57B91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 xml:space="preserve">ABS data 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 xml:space="preserve">published </w:t>
            </w:r>
            <w:r w:rsidR="0087000B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>in</w:t>
            </w:r>
            <w:r w:rsidR="0009783E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 xml:space="preserve"> 2021 and</w:t>
            </w:r>
            <w:r w:rsidR="0087000B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>202</w:t>
            </w:r>
            <w:r w:rsidR="0009783E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58" w:type="pct"/>
            <w:hideMark/>
          </w:tcPr>
          <w:p w14:paraId="13262746" w14:textId="61E7D457" w:rsidR="00110BD7" w:rsidRPr="00757B91" w:rsidRDefault="00122768" w:rsidP="007215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>Tumby Bay</w:t>
            </w:r>
          </w:p>
        </w:tc>
      </w:tr>
      <w:tr w:rsidR="00110BD7" w:rsidRPr="00110BD7" w14:paraId="64606B73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5122CB7D" w14:textId="087EA236" w:rsidR="00110BD7" w:rsidRPr="00110BD7" w:rsidRDefault="00110BD7" w:rsidP="00110BD7">
            <w:p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 w:rsidRPr="00110BD7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Estimated Resident Population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EE569E7" w14:textId="7E6121B9" w:rsidR="00110BD7" w:rsidRPr="00110BD7" w:rsidRDefault="0009783E" w:rsidP="00110BD7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2,889</w:t>
            </w:r>
          </w:p>
        </w:tc>
      </w:tr>
      <w:tr w:rsidR="00110BD7" w:rsidRPr="00110BD7" w14:paraId="38922DC8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76676BDD" w14:textId="71580716" w:rsidR="00110BD7" w:rsidRPr="00110BD7" w:rsidRDefault="00110BD7" w:rsidP="00110BD7">
            <w:p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Percentage of Population of Working Age (15 to 64 years)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8A1EA9A" w14:textId="7B2C2044" w:rsidR="00110BD7" w:rsidRDefault="0009783E" w:rsidP="00110BD7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48.6%</w:t>
            </w:r>
          </w:p>
        </w:tc>
      </w:tr>
      <w:tr w:rsidR="008749D6" w:rsidRPr="00110BD7" w14:paraId="6B29E092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371E0FAF" w14:textId="72696528" w:rsidR="008749D6" w:rsidRPr="0009783E" w:rsidRDefault="008749D6" w:rsidP="00110BD7">
            <w:p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 w:rsidRPr="0009783E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People 65 and older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74C74CF" w14:textId="7211C77D" w:rsidR="008749D6" w:rsidRPr="0009783E" w:rsidRDefault="0009783E" w:rsidP="00110BD7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 w:rsidRPr="0009783E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33.1</w:t>
            </w:r>
            <w:r w:rsidR="00DD74B8" w:rsidRPr="0009783E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%</w:t>
            </w:r>
          </w:p>
        </w:tc>
      </w:tr>
      <w:tr w:rsidR="00110BD7" w:rsidRPr="00110BD7" w14:paraId="04D567A2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6BBA455D" w14:textId="2DAED78A" w:rsidR="00110BD7" w:rsidRDefault="00110BD7" w:rsidP="00110BD7">
            <w:p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Pensioners</w:t>
            </w:r>
            <w:r w:rsidR="009A1D5D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 xml:space="preserve"> </w:t>
            </w:r>
            <w:r w:rsidR="004E040E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–</w:t>
            </w:r>
            <w:r w:rsidR="009A1D5D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 xml:space="preserve"> Age</w:t>
            </w:r>
            <w:r w:rsidR="004E040E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 xml:space="preserve"> Pension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403E783" w14:textId="5A9E10BB" w:rsidR="00110BD7" w:rsidRDefault="0009783E" w:rsidP="00110BD7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510</w:t>
            </w:r>
          </w:p>
        </w:tc>
      </w:tr>
      <w:tr w:rsidR="00537505" w:rsidRPr="00110BD7" w14:paraId="189C0705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557A8EE8" w14:textId="72228D53" w:rsidR="00537505" w:rsidRDefault="00537505" w:rsidP="00110BD7">
            <w:p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People on Job Seeker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9C93FA8" w14:textId="56ACCA7C" w:rsidR="00537505" w:rsidRDefault="0009783E" w:rsidP="00110BD7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91</w:t>
            </w:r>
          </w:p>
        </w:tc>
      </w:tr>
      <w:tr w:rsidR="00122768" w:rsidRPr="00110BD7" w14:paraId="7F642883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113C2A6A" w14:textId="423E1AA0" w:rsidR="00122768" w:rsidRDefault="00122768" w:rsidP="00110BD7">
            <w:p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People on other Government pensions and allowances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C33EEFC" w14:textId="57899D03" w:rsidR="00122768" w:rsidRDefault="00122768" w:rsidP="00110BD7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284</w:t>
            </w:r>
          </w:p>
        </w:tc>
      </w:tr>
      <w:tr w:rsidR="001F6ECA" w:rsidRPr="001F6ECA" w14:paraId="4AAF1CAC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573F973B" w14:textId="06E13D22" w:rsidR="001F6ECA" w:rsidRDefault="001F6ECA" w:rsidP="00110BD7">
            <w:p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Family Households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D99A72C" w14:textId="2C2C3665" w:rsidR="001F6ECA" w:rsidRDefault="00122768" w:rsidP="001F6ECA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764</w:t>
            </w:r>
          </w:p>
        </w:tc>
      </w:tr>
      <w:tr w:rsidR="001F6ECA" w:rsidRPr="001F6ECA" w14:paraId="744BF005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3C148DCC" w14:textId="542F5C01" w:rsidR="001F6ECA" w:rsidRDefault="001F6ECA" w:rsidP="0087000B">
            <w:pPr>
              <w:numPr>
                <w:ilvl w:val="0"/>
                <w:numId w:val="26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 xml:space="preserve">Couple families without children 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B90925D" w14:textId="0B0EC508" w:rsidR="001F6ECA" w:rsidRDefault="00122768" w:rsidP="001F6ECA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448</w:t>
            </w:r>
          </w:p>
        </w:tc>
      </w:tr>
      <w:tr w:rsidR="00537505" w:rsidRPr="001F6ECA" w14:paraId="20B9BF41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65AC937F" w14:textId="31603DCB" w:rsidR="00537505" w:rsidRDefault="00537505" w:rsidP="0087000B">
            <w:pPr>
              <w:numPr>
                <w:ilvl w:val="0"/>
                <w:numId w:val="26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Couple families with non-dependent children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8A36DD8" w14:textId="4CA3154B" w:rsidR="00537505" w:rsidRDefault="00122768" w:rsidP="001F6ECA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30</w:t>
            </w:r>
          </w:p>
        </w:tc>
      </w:tr>
      <w:tr w:rsidR="001F6ECA" w:rsidRPr="001F6ECA" w14:paraId="519D1593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2D418795" w14:textId="2967AB1A" w:rsidR="001F6ECA" w:rsidRDefault="001F6ECA" w:rsidP="0087000B">
            <w:pPr>
              <w:numPr>
                <w:ilvl w:val="0"/>
                <w:numId w:val="26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Couple families with children under 15 or dependent students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5FB37EB" w14:textId="2F785D36" w:rsidR="001F6ECA" w:rsidRDefault="00122768" w:rsidP="001F6ECA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219</w:t>
            </w:r>
          </w:p>
        </w:tc>
      </w:tr>
      <w:tr w:rsidR="001F6ECA" w:rsidRPr="001F6ECA" w14:paraId="78AAC3E5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7BC17289" w14:textId="4C33A8B2" w:rsidR="001F6ECA" w:rsidRDefault="001F6ECA" w:rsidP="0087000B">
            <w:pPr>
              <w:numPr>
                <w:ilvl w:val="0"/>
                <w:numId w:val="26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One</w:t>
            </w:r>
            <w:r w:rsidR="0087000B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-</w:t>
            </w: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parent families with children under 15 or dependent students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753E5FC" w14:textId="1C148DF4" w:rsidR="001F6ECA" w:rsidRDefault="00122768" w:rsidP="001F6ECA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46</w:t>
            </w:r>
          </w:p>
        </w:tc>
      </w:tr>
      <w:tr w:rsidR="00537505" w:rsidRPr="001F6ECA" w14:paraId="14EB5625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08D3E3E0" w14:textId="7DF634FF" w:rsidR="00537505" w:rsidRDefault="00537505" w:rsidP="0087000B">
            <w:pPr>
              <w:numPr>
                <w:ilvl w:val="0"/>
                <w:numId w:val="26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One-parent families with non-dependent children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3D9C870" w14:textId="1EFA857C" w:rsidR="00537505" w:rsidRDefault="00122768" w:rsidP="001F6ECA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25</w:t>
            </w:r>
          </w:p>
        </w:tc>
      </w:tr>
      <w:tr w:rsidR="001F6ECA" w:rsidRPr="001F6ECA" w14:paraId="370A1815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55778D93" w14:textId="3D1CAADF" w:rsidR="001F6ECA" w:rsidRDefault="001F6ECA" w:rsidP="001F6ECA">
            <w:p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 xml:space="preserve">Access to </w:t>
            </w:r>
            <w:r w:rsidR="0087000B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the I</w:t>
            </w: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nternet at home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67F270D" w14:textId="7A275A03" w:rsidR="001F6ECA" w:rsidRDefault="00122768" w:rsidP="001F6ECA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71.9%</w:t>
            </w:r>
          </w:p>
        </w:tc>
      </w:tr>
    </w:tbl>
    <w:p w14:paraId="2F83E262" w14:textId="77777777" w:rsidR="007215C1" w:rsidRDefault="007215C1" w:rsidP="002F7B34">
      <w:pPr>
        <w:spacing w:after="0"/>
      </w:pPr>
    </w:p>
    <w:p w14:paraId="4F9A793C" w14:textId="0F3D2C55" w:rsidR="002D5472" w:rsidRDefault="002D5472" w:rsidP="00F906A0">
      <w:pPr>
        <w:rPr>
          <w:b/>
          <w:bCs/>
        </w:rPr>
      </w:pPr>
      <w:r>
        <w:rPr>
          <w:b/>
          <w:bCs/>
        </w:rPr>
        <w:t>Income</w:t>
      </w:r>
    </w:p>
    <w:tbl>
      <w:tblPr>
        <w:tblStyle w:val="GridTable4-Accent512"/>
        <w:tblW w:w="5000" w:type="pct"/>
        <w:tblLook w:val="0420" w:firstRow="1" w:lastRow="0" w:firstColumn="0" w:lastColumn="0" w:noHBand="0" w:noVBand="1"/>
      </w:tblPr>
      <w:tblGrid>
        <w:gridCol w:w="7649"/>
        <w:gridCol w:w="1367"/>
      </w:tblGrid>
      <w:tr w:rsidR="002D5472" w:rsidRPr="00122768" w14:paraId="5ADF9DE8" w14:textId="77777777" w:rsidTr="00F90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4242" w:type="pct"/>
            <w:hideMark/>
          </w:tcPr>
          <w:p w14:paraId="3A2FF280" w14:textId="0FD40B46" w:rsidR="002D5472" w:rsidRPr="00122768" w:rsidRDefault="002D5472" w:rsidP="000755E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22768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 xml:space="preserve">ABS data published </w:t>
            </w:r>
            <w:r w:rsidR="0087000B" w:rsidRPr="00122768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 xml:space="preserve">in </w:t>
            </w:r>
            <w:r w:rsidRPr="00122768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758" w:type="pct"/>
            <w:hideMark/>
          </w:tcPr>
          <w:p w14:paraId="5C76F69C" w14:textId="2538D743" w:rsidR="002D5472" w:rsidRPr="00122768" w:rsidRDefault="00122768" w:rsidP="000755E4">
            <w:pPr>
              <w:jc w:val="center"/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</w:pPr>
            <w:r w:rsidRPr="00122768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>Tumby Bay</w:t>
            </w:r>
          </w:p>
        </w:tc>
      </w:tr>
      <w:tr w:rsidR="002D5472" w:rsidRPr="00122768" w14:paraId="4C11E2E8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77E1128F" w14:textId="77777777" w:rsidR="002D5472" w:rsidRPr="00122768" w:rsidRDefault="002D5472" w:rsidP="000755E4">
            <w:p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Personal Income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091FFE0" w14:textId="77777777" w:rsidR="002D5472" w:rsidRPr="00122768" w:rsidRDefault="002D5472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2D5472" w:rsidRPr="00122768" w14:paraId="46AA657A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653AB067" w14:textId="77777777" w:rsidR="002D5472" w:rsidRPr="00122768" w:rsidRDefault="002D5472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Earning $1-$499 per Week ($52 to $25,948 per year)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78E3C42" w14:textId="12DDFE81" w:rsidR="002D5472" w:rsidRPr="00122768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26.4%</w:t>
            </w:r>
          </w:p>
        </w:tc>
      </w:tr>
      <w:tr w:rsidR="002D5472" w:rsidRPr="00122768" w14:paraId="16DC4258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1203C753" w14:textId="153D4797" w:rsidR="002D5472" w:rsidRPr="00122768" w:rsidRDefault="002D5472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 xml:space="preserve">Earning $500-$999 per </w:t>
            </w:r>
            <w:r w:rsidR="0087000B"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W</w:t>
            </w: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eek ($26,000 to $51,948 per year)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6027200" w14:textId="552A38C9" w:rsidR="002D5472" w:rsidRPr="00122768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30.5%</w:t>
            </w:r>
          </w:p>
        </w:tc>
      </w:tr>
      <w:tr w:rsidR="002D5472" w:rsidRPr="00122768" w14:paraId="19B942BF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1AE9E35E" w14:textId="1A813F73" w:rsidR="002D5472" w:rsidRPr="00122768" w:rsidRDefault="002D5472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 xml:space="preserve">Earning $1000-$1999 per </w:t>
            </w:r>
            <w:r w:rsidR="0087000B"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W</w:t>
            </w: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eek ($52,000 to $103,948 per year)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9C445DF" w14:textId="32756E19" w:rsidR="002D5472" w:rsidRPr="00122768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26.1%</w:t>
            </w:r>
          </w:p>
        </w:tc>
      </w:tr>
      <w:tr w:rsidR="002D5472" w:rsidRPr="00122768" w14:paraId="5388554D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73425ED8" w14:textId="2228DC64" w:rsidR="002D5472" w:rsidRPr="00122768" w:rsidRDefault="002D5472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 xml:space="preserve">Earning $2000-$2999 per </w:t>
            </w:r>
            <w:r w:rsidR="0087000B"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W</w:t>
            </w: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eek ($104,000 to $144,948 per year)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43D6CEB" w14:textId="02EE9463" w:rsidR="002D5472" w:rsidRPr="00122768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5.7%</w:t>
            </w:r>
          </w:p>
        </w:tc>
      </w:tr>
      <w:tr w:rsidR="002D5472" w:rsidRPr="00122768" w14:paraId="03DCC38F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303D5453" w14:textId="33FC59BF" w:rsidR="002D5472" w:rsidRPr="00122768" w:rsidRDefault="002D5472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 xml:space="preserve">Earning $3000 or more per </w:t>
            </w:r>
            <w:r w:rsidR="0087000B"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W</w:t>
            </w: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eek ($156,000 or more per year)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BD8B677" w14:textId="620D1EC1" w:rsidR="002D5472" w:rsidRPr="00122768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1.8%</w:t>
            </w:r>
          </w:p>
        </w:tc>
      </w:tr>
      <w:tr w:rsidR="002D5472" w:rsidRPr="00122768" w14:paraId="24AD8334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4746EDA3" w14:textId="77777777" w:rsidR="002D5472" w:rsidRPr="00122768" w:rsidRDefault="002D5472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Earning nil income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71751E5" w14:textId="62B40FB5" w:rsidR="002D5472" w:rsidRPr="00122768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1.7%</w:t>
            </w:r>
          </w:p>
        </w:tc>
      </w:tr>
      <w:tr w:rsidR="002D5472" w:rsidRPr="00122768" w14:paraId="556495CF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7C8EC4A5" w14:textId="24C5B1D5" w:rsidR="002D5472" w:rsidRPr="00122768" w:rsidRDefault="002D5472" w:rsidP="000755E4">
            <w:p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Median Household Income (</w:t>
            </w:r>
            <w:r w:rsidR="0087000B"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W</w:t>
            </w: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eek)</w:t>
            </w:r>
          </w:p>
          <w:p w14:paraId="0C1AEC6D" w14:textId="77777777" w:rsidR="002D5472" w:rsidRPr="00122768" w:rsidRDefault="002D5472" w:rsidP="000755E4">
            <w:p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 w:rsidRPr="0012276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 xml:space="preserve">                                                  (year)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D9A00E9" w14:textId="4A471861" w:rsidR="00630D8E" w:rsidRPr="00122768" w:rsidRDefault="00D028DF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22768">
              <w:rPr>
                <w:rFonts w:eastAsia="Times New Roman" w:cstheme="minorHAnsi"/>
                <w:sz w:val="20"/>
                <w:szCs w:val="20"/>
                <w:lang w:eastAsia="en-AU"/>
              </w:rPr>
              <w:t>$</w:t>
            </w:r>
            <w:r w:rsidR="008F59D0">
              <w:rPr>
                <w:rFonts w:eastAsia="Times New Roman" w:cstheme="minorHAnsi"/>
                <w:sz w:val="20"/>
                <w:szCs w:val="20"/>
                <w:lang w:eastAsia="en-AU"/>
              </w:rPr>
              <w:t>749</w:t>
            </w:r>
          </w:p>
          <w:p w14:paraId="37125571" w14:textId="615F9A33" w:rsidR="00883CC3" w:rsidRPr="00122768" w:rsidRDefault="00883CC3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22768">
              <w:rPr>
                <w:rFonts w:eastAsia="Times New Roman" w:cstheme="minorHAnsi"/>
                <w:sz w:val="20"/>
                <w:szCs w:val="20"/>
                <w:lang w:eastAsia="en-AU"/>
              </w:rPr>
              <w:t>$</w:t>
            </w:r>
            <w:r w:rsidR="008F59D0">
              <w:rPr>
                <w:rFonts w:eastAsia="Times New Roman" w:cstheme="minorHAnsi"/>
                <w:sz w:val="20"/>
                <w:szCs w:val="20"/>
                <w:lang w:eastAsia="en-AU"/>
              </w:rPr>
              <w:t>38,948</w:t>
            </w:r>
          </w:p>
        </w:tc>
      </w:tr>
    </w:tbl>
    <w:p w14:paraId="707A6A9C" w14:textId="77777777" w:rsidR="00F906A0" w:rsidRDefault="00F906A0" w:rsidP="00F906A0">
      <w:pPr>
        <w:rPr>
          <w:b/>
          <w:bCs/>
        </w:rPr>
      </w:pPr>
    </w:p>
    <w:p w14:paraId="2052C7BF" w14:textId="77777777" w:rsidR="00F906A0" w:rsidRDefault="00F906A0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514E5A47" w14:textId="2358CA3A" w:rsidR="002D5472" w:rsidRPr="000315EA" w:rsidRDefault="002D5472" w:rsidP="00F906A0">
      <w:pPr>
        <w:rPr>
          <w:b/>
          <w:bCs/>
        </w:rPr>
      </w:pPr>
      <w:r w:rsidRPr="002D5472">
        <w:rPr>
          <w:b/>
          <w:bCs/>
        </w:rPr>
        <w:lastRenderedPageBreak/>
        <w:t>Expenses</w:t>
      </w:r>
    </w:p>
    <w:tbl>
      <w:tblPr>
        <w:tblStyle w:val="GridTable4-Accent512"/>
        <w:tblW w:w="5000" w:type="pct"/>
        <w:tblLook w:val="0420" w:firstRow="1" w:lastRow="0" w:firstColumn="0" w:lastColumn="0" w:noHBand="0" w:noVBand="1"/>
      </w:tblPr>
      <w:tblGrid>
        <w:gridCol w:w="7649"/>
        <w:gridCol w:w="1367"/>
      </w:tblGrid>
      <w:tr w:rsidR="002D5472" w:rsidRPr="00757B91" w14:paraId="710F6566" w14:textId="77777777" w:rsidTr="00F90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4242" w:type="pct"/>
            <w:hideMark/>
          </w:tcPr>
          <w:p w14:paraId="6AF87B11" w14:textId="6E57035A" w:rsidR="002D5472" w:rsidRPr="00757B91" w:rsidRDefault="002D5472" w:rsidP="000755E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57B91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 xml:space="preserve">ABS data 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 xml:space="preserve">published </w:t>
            </w:r>
            <w:r w:rsidR="0087000B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 xml:space="preserve">in 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758" w:type="pct"/>
            <w:hideMark/>
          </w:tcPr>
          <w:p w14:paraId="59962B7E" w14:textId="1E3A957C" w:rsidR="002D5472" w:rsidRPr="00757B91" w:rsidRDefault="008F59D0" w:rsidP="000755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>Tumby Bay</w:t>
            </w:r>
          </w:p>
        </w:tc>
      </w:tr>
      <w:tr w:rsidR="002D5472" w:rsidRPr="00110BD7" w14:paraId="62F462A3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  <w:hideMark/>
          </w:tcPr>
          <w:p w14:paraId="78C74D1B" w14:textId="77777777" w:rsidR="002D5472" w:rsidRDefault="002D5472" w:rsidP="000755E4">
            <w:p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 w:rsidRPr="00110BD7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Median Household Mortgage Repayments(month)</w:t>
            </w:r>
          </w:p>
          <w:p w14:paraId="1E61727B" w14:textId="77777777" w:rsidR="002D5472" w:rsidRDefault="002D5472" w:rsidP="000755E4">
            <w:p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 xml:space="preserve">                                                                             (year)</w:t>
            </w:r>
          </w:p>
          <w:p w14:paraId="302FCF85" w14:textId="06B3FE2A" w:rsidR="002D5472" w:rsidRPr="002D5472" w:rsidRDefault="002D5472" w:rsidP="000755E4">
            <w:pPr>
              <w:jc w:val="left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Note that </w:t>
            </w:r>
            <w:r w:rsidR="001F6ECA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interest rates are higher in 2023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177E952" w14:textId="77777777" w:rsidR="00883CC3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$1,138</w:t>
            </w:r>
          </w:p>
          <w:p w14:paraId="3538E6A0" w14:textId="70F3A300" w:rsidR="008F59D0" w:rsidRPr="00110BD7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$13,656</w:t>
            </w:r>
          </w:p>
        </w:tc>
      </w:tr>
      <w:tr w:rsidR="002D5472" w:rsidRPr="00110BD7" w14:paraId="21BFEF40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089E5077" w14:textId="77777777" w:rsidR="002D5472" w:rsidRDefault="002D5472" w:rsidP="000755E4">
            <w:p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Median Weekly Household Rental Payments</w:t>
            </w:r>
          </w:p>
          <w:p w14:paraId="05C0AD8E" w14:textId="77777777" w:rsidR="001F6ECA" w:rsidRDefault="001F6ECA" w:rsidP="000755E4">
            <w:p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 xml:space="preserve">                                                                             (year)</w:t>
            </w:r>
          </w:p>
          <w:p w14:paraId="5478F13D" w14:textId="4B4C57B7" w:rsidR="008F59D0" w:rsidRPr="008F59D0" w:rsidRDefault="008F59D0" w:rsidP="000755E4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 xml:space="preserve">       </w:t>
            </w:r>
            <w:r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0"/>
                <w:szCs w:val="20"/>
                <w:lang w:eastAsia="en-AU"/>
              </w:rPr>
              <w:t>Note that Rental Increases have occurred across Australia in 2023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2071099" w14:textId="77777777" w:rsidR="00883CC3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$210</w:t>
            </w:r>
          </w:p>
          <w:p w14:paraId="3ECB8BD3" w14:textId="54F5D40F" w:rsidR="008F59D0" w:rsidRPr="00110BD7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$10,920</w:t>
            </w:r>
          </w:p>
        </w:tc>
      </w:tr>
      <w:tr w:rsidR="001F6ECA" w:rsidRPr="00110BD7" w14:paraId="174193C5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3550D3EC" w14:textId="65E92B78" w:rsidR="001F6ECA" w:rsidRDefault="001F6ECA" w:rsidP="000755E4">
            <w:p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Private dwellings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8DED295" w14:textId="77777777" w:rsidR="001F6ECA" w:rsidRDefault="001F6ECA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1F6ECA" w:rsidRPr="00110BD7" w14:paraId="6979302E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27F1CCB2" w14:textId="77C0AD8E" w:rsidR="001F6ECA" w:rsidRDefault="001F6ECA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Owned outright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2469971" w14:textId="7A2089CC" w:rsidR="001F6ECA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51.4%</w:t>
            </w:r>
          </w:p>
        </w:tc>
      </w:tr>
      <w:tr w:rsidR="001F6ECA" w:rsidRPr="00110BD7" w14:paraId="239B7E27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2E738FD7" w14:textId="433E933F" w:rsidR="001F6ECA" w:rsidRDefault="001F6ECA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Owned with a mortgage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261F908" w14:textId="786DDDE2" w:rsidR="001F6ECA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22.1%</w:t>
            </w:r>
          </w:p>
        </w:tc>
      </w:tr>
      <w:tr w:rsidR="001F6ECA" w:rsidRPr="00110BD7" w14:paraId="7259FC93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3537A281" w14:textId="3417E521" w:rsidR="001F6ECA" w:rsidRDefault="001F6ECA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Rented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261F0A7" w14:textId="639CF73C" w:rsidR="001F6ECA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19.1%</w:t>
            </w:r>
          </w:p>
        </w:tc>
      </w:tr>
      <w:tr w:rsidR="001F6ECA" w:rsidRPr="00110BD7" w14:paraId="25424E40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6456BE36" w14:textId="55937F4A" w:rsidR="001F6ECA" w:rsidRDefault="001F6ECA" w:rsidP="001F6ECA">
            <w:p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Mortgage and Rent affordability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ECC0E02" w14:textId="77777777" w:rsidR="001F6ECA" w:rsidRDefault="001F6ECA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1F6ECA" w:rsidRPr="00110BD7" w14:paraId="6189C089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18D0F300" w14:textId="11CDA9D4" w:rsidR="001F6ECA" w:rsidRDefault="001F6ECA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Households where mortgage repayments are less than or equal to 30% of income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30713A7" w14:textId="7B53577B" w:rsidR="001F6ECA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71.3%</w:t>
            </w:r>
          </w:p>
        </w:tc>
      </w:tr>
      <w:tr w:rsidR="001F6ECA" w:rsidRPr="00110BD7" w14:paraId="18E0E277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0F91BCE7" w14:textId="06139A06" w:rsidR="001F6ECA" w:rsidRDefault="001F6ECA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Households where mortgage payments are more than 30% of income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508ACFA" w14:textId="55FD979B" w:rsidR="001F6ECA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13.4%</w:t>
            </w:r>
          </w:p>
        </w:tc>
      </w:tr>
      <w:tr w:rsidR="00237AE8" w:rsidRPr="00110BD7" w14:paraId="3AF9429A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487E7F94" w14:textId="7FEE1AF0" w:rsidR="00237AE8" w:rsidRDefault="00237AE8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Households where rent payments are less than or equal to 30% of income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7F13133" w14:textId="4BD0C27C" w:rsidR="00237AE8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55.8%</w:t>
            </w:r>
          </w:p>
        </w:tc>
      </w:tr>
      <w:tr w:rsidR="00237AE8" w:rsidRPr="00110BD7" w14:paraId="5A41A75E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0D2CB227" w14:textId="2BC0D101" w:rsidR="00237AE8" w:rsidRDefault="00237AE8" w:rsidP="0087000B">
            <w:pPr>
              <w:numPr>
                <w:ilvl w:val="0"/>
                <w:numId w:val="25"/>
              </w:numPr>
              <w:jc w:val="left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AU"/>
              </w:rPr>
              <w:t>Households where rent payments are more than 30% of income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6BB4B3A" w14:textId="7B08AEA9" w:rsidR="00237AE8" w:rsidRDefault="008F59D0" w:rsidP="000755E4">
            <w:pPr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32.7%</w:t>
            </w:r>
          </w:p>
        </w:tc>
      </w:tr>
    </w:tbl>
    <w:p w14:paraId="1FF6B628" w14:textId="77777777" w:rsidR="002D5472" w:rsidRDefault="002D5472" w:rsidP="002F7B34">
      <w:pPr>
        <w:spacing w:after="0"/>
      </w:pPr>
    </w:p>
    <w:p w14:paraId="4EFB534B" w14:textId="2E703140" w:rsidR="008749D6" w:rsidRDefault="008749D6" w:rsidP="00F906A0">
      <w:pPr>
        <w:rPr>
          <w:b/>
          <w:bCs/>
        </w:rPr>
      </w:pPr>
      <w:r>
        <w:rPr>
          <w:b/>
          <w:bCs/>
        </w:rPr>
        <w:t>Business</w:t>
      </w:r>
    </w:p>
    <w:tbl>
      <w:tblPr>
        <w:tblStyle w:val="GridTable4-Accent512"/>
        <w:tblW w:w="5000" w:type="pct"/>
        <w:tblLook w:val="0420" w:firstRow="1" w:lastRow="0" w:firstColumn="0" w:lastColumn="0" w:noHBand="0" w:noVBand="1"/>
      </w:tblPr>
      <w:tblGrid>
        <w:gridCol w:w="7649"/>
        <w:gridCol w:w="1367"/>
      </w:tblGrid>
      <w:tr w:rsidR="008749D6" w:rsidRPr="00757B91" w14:paraId="0DD8FBA2" w14:textId="77777777" w:rsidTr="00F90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4242" w:type="pct"/>
            <w:hideMark/>
          </w:tcPr>
          <w:p w14:paraId="4B46F661" w14:textId="7B32592A" w:rsidR="008749D6" w:rsidRPr="00757B91" w:rsidRDefault="008749D6" w:rsidP="000755E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57B91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 xml:space="preserve">ABS data 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 xml:space="preserve">published </w:t>
            </w:r>
            <w:r w:rsidR="0087000B"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 xml:space="preserve">in 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758" w:type="pct"/>
            <w:hideMark/>
          </w:tcPr>
          <w:p w14:paraId="7C66C679" w14:textId="44F90AAF" w:rsidR="008749D6" w:rsidRPr="00757B91" w:rsidRDefault="008F59D0" w:rsidP="000755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0"/>
                <w:szCs w:val="20"/>
                <w:lang w:eastAsia="en-AU"/>
              </w:rPr>
              <w:t>Tumby Bay</w:t>
            </w:r>
          </w:p>
        </w:tc>
      </w:tr>
      <w:tr w:rsidR="008749D6" w:rsidRPr="00110BD7" w14:paraId="546E26BC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583A2A13" w14:textId="14E2ABAD" w:rsidR="008749D6" w:rsidRPr="00110BD7" w:rsidRDefault="008749D6" w:rsidP="000755E4">
            <w:p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Number of Businesses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A6D0BE5" w14:textId="23CD0E41" w:rsidR="008749D6" w:rsidRPr="00110BD7" w:rsidRDefault="008F59D0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351</w:t>
            </w:r>
          </w:p>
        </w:tc>
      </w:tr>
      <w:tr w:rsidR="008749D6" w:rsidRPr="00110BD7" w14:paraId="68240447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36259C55" w14:textId="324A667B" w:rsidR="008749D6" w:rsidRDefault="00FE5820" w:rsidP="000755E4">
            <w:p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T</w:t>
            </w:r>
            <w:r w:rsidR="008749D6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ypes of Businesses</w:t>
            </w:r>
            <w:r w:rsidR="000315EA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 xml:space="preserve"> (Most Common)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BEB2CD6" w14:textId="77777777" w:rsidR="008749D6" w:rsidRDefault="008749D6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</w:p>
        </w:tc>
      </w:tr>
      <w:tr w:rsidR="008749D6" w:rsidRPr="00110BD7" w14:paraId="25A2C18D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2C7BA3F5" w14:textId="1FA9816E" w:rsidR="008749D6" w:rsidRDefault="008749D6" w:rsidP="0087000B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Agriculture, forestry, and fishing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E4DB197" w14:textId="6E10EFD9" w:rsidR="008749D6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178</w:t>
            </w:r>
          </w:p>
        </w:tc>
      </w:tr>
      <w:tr w:rsidR="008749D6" w:rsidRPr="00110BD7" w14:paraId="14B7DD41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3EAC06CB" w14:textId="19BE8D38" w:rsidR="008749D6" w:rsidRDefault="0082531E" w:rsidP="0087000B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Rental, hiring and real estate services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88D6DBD" w14:textId="2A69F03C" w:rsidR="008749D6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41</w:t>
            </w:r>
          </w:p>
        </w:tc>
      </w:tr>
      <w:tr w:rsidR="008749D6" w:rsidRPr="00110BD7" w14:paraId="04CA0D20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42E1BBDE" w14:textId="09AC112A" w:rsidR="00DD74B8" w:rsidRPr="00DD74B8" w:rsidRDefault="0082531E" w:rsidP="00DD74B8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Construction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8F11BF2" w14:textId="13FEEABD" w:rsidR="008749D6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32</w:t>
            </w:r>
          </w:p>
        </w:tc>
      </w:tr>
      <w:tr w:rsidR="008749D6" w:rsidRPr="00110BD7" w14:paraId="3796F56F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5BA1BC38" w14:textId="19D3290D" w:rsidR="008749D6" w:rsidRDefault="0082531E" w:rsidP="0087000B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Transport, postal and warehousing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6BE8F93" w14:textId="62B15BE1" w:rsidR="008749D6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13</w:t>
            </w:r>
          </w:p>
        </w:tc>
      </w:tr>
      <w:tr w:rsidR="000315EA" w:rsidRPr="00110BD7" w14:paraId="1288696A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0D0FA595" w14:textId="76320966" w:rsidR="000315EA" w:rsidRDefault="000315EA" w:rsidP="0087000B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Accommodation and Food Services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C4FF576" w14:textId="37F77472" w:rsidR="000315EA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12</w:t>
            </w:r>
          </w:p>
        </w:tc>
      </w:tr>
      <w:tr w:rsidR="00FE5820" w:rsidRPr="00110BD7" w14:paraId="0E9BFA9E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73BA4B3C" w14:textId="0F16DB76" w:rsidR="00FE5820" w:rsidRDefault="00FE5820" w:rsidP="00FE5820">
            <w:p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Turnover of Businesses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CE52A7E" w14:textId="77777777" w:rsidR="00FE5820" w:rsidRDefault="00FE5820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</w:p>
        </w:tc>
      </w:tr>
      <w:tr w:rsidR="000315EA" w:rsidRPr="00110BD7" w14:paraId="5BD1DD7A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0064EAFB" w14:textId="0615E8CA" w:rsidR="000315EA" w:rsidRDefault="000315EA" w:rsidP="000315EA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$10m or more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A975CDA" w14:textId="2B3B0DC9" w:rsidR="000315EA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6</w:t>
            </w:r>
          </w:p>
        </w:tc>
      </w:tr>
      <w:tr w:rsidR="00FE5820" w:rsidRPr="00110BD7" w14:paraId="2FAFA379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0EFA6075" w14:textId="458B87B2" w:rsidR="00FE5820" w:rsidRDefault="00FE5820" w:rsidP="0087000B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$5m to less than $10m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6532B44" w14:textId="138C9FBB" w:rsidR="00FE5820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3</w:t>
            </w:r>
          </w:p>
        </w:tc>
      </w:tr>
      <w:tr w:rsidR="00FE5820" w:rsidRPr="00110BD7" w14:paraId="50218AF1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4A7100A0" w14:textId="077B33FB" w:rsidR="00FE5820" w:rsidRDefault="00FE5820" w:rsidP="0087000B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$2m to less than $5m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C31DE14" w14:textId="4F2F8511" w:rsidR="00FE5820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25</w:t>
            </w:r>
          </w:p>
        </w:tc>
      </w:tr>
      <w:tr w:rsidR="00FE5820" w:rsidRPr="00110BD7" w14:paraId="74197020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117E3229" w14:textId="602CFFC5" w:rsidR="00FE5820" w:rsidRDefault="00FE5820" w:rsidP="0087000B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$200k to less than $2m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157104F" w14:textId="1816EE65" w:rsidR="00FE5820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142</w:t>
            </w:r>
          </w:p>
        </w:tc>
      </w:tr>
      <w:tr w:rsidR="00FE5820" w:rsidRPr="00110BD7" w14:paraId="48F22B60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5C0FC92E" w14:textId="064B489D" w:rsidR="00FE5820" w:rsidRDefault="00FE5820" w:rsidP="0087000B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$</w:t>
            </w:r>
            <w:r w:rsidR="00DD74B8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0k to less than $200k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4A5D53B" w14:textId="648F54E9" w:rsidR="00FE5820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110</w:t>
            </w:r>
          </w:p>
        </w:tc>
      </w:tr>
      <w:tr w:rsidR="00FE5820" w:rsidRPr="00110BD7" w14:paraId="1B4F7CF8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3B1B3258" w14:textId="3F63F3DB" w:rsidR="00FE5820" w:rsidRDefault="00FE5820" w:rsidP="0087000B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Less than $50k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D673456" w14:textId="06A8487F" w:rsidR="00FE5820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67</w:t>
            </w:r>
          </w:p>
        </w:tc>
      </w:tr>
      <w:tr w:rsidR="009A1D5D" w:rsidRPr="00110BD7" w14:paraId="0997FD80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299EA872" w14:textId="5B3620D8" w:rsidR="009A1D5D" w:rsidRDefault="009A1D5D" w:rsidP="009A1D5D">
            <w:p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 xml:space="preserve">Main Industries of </w:t>
            </w:r>
            <w:r w:rsidR="0087000B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6B0D995" w14:textId="77777777" w:rsidR="009A1D5D" w:rsidRDefault="009A1D5D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</w:p>
        </w:tc>
      </w:tr>
      <w:tr w:rsidR="009A1D5D" w:rsidRPr="00110BD7" w14:paraId="53CA730A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50C519AE" w14:textId="31DA6ABC" w:rsidR="009A1D5D" w:rsidRDefault="009A1D5D" w:rsidP="0087000B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Agriculture</w:t>
            </w:r>
            <w:r w:rsidR="00537505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 xml:space="preserve">, </w:t>
            </w:r>
            <w:r w:rsidR="00072B27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forestry,</w:t>
            </w:r>
            <w:r w:rsidR="00537505"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 xml:space="preserve"> and fishing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476FCBB" w14:textId="7EE787C0" w:rsidR="009A1D5D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28.8%</w:t>
            </w:r>
          </w:p>
        </w:tc>
      </w:tr>
      <w:tr w:rsidR="00537505" w:rsidRPr="00110BD7" w14:paraId="228D4A34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0AF19DBB" w14:textId="258F98E0" w:rsidR="00537505" w:rsidRDefault="00537505" w:rsidP="0087000B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Health Care and Social Assistance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23CD391" w14:textId="58DB86CE" w:rsidR="00537505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11.9%</w:t>
            </w:r>
          </w:p>
        </w:tc>
      </w:tr>
      <w:tr w:rsidR="00DD74B8" w:rsidRPr="00110BD7" w14:paraId="70C28E9E" w14:textId="77777777" w:rsidTr="00F906A0">
        <w:trPr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6A7221B8" w14:textId="6877B7C4" w:rsidR="00DD74B8" w:rsidRDefault="0082531E" w:rsidP="0087000B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Education and Training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7847D2A" w14:textId="79081F1E" w:rsidR="00DD74B8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9.6%</w:t>
            </w:r>
          </w:p>
        </w:tc>
      </w:tr>
      <w:tr w:rsidR="00537505" w:rsidRPr="00110BD7" w14:paraId="12766B67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242" w:type="pct"/>
            <w:shd w:val="clear" w:color="auto" w:fill="auto"/>
            <w:vAlign w:val="center"/>
          </w:tcPr>
          <w:p w14:paraId="45DD5A93" w14:textId="6698FF8B" w:rsidR="00537505" w:rsidRDefault="0082531E" w:rsidP="00F906A0">
            <w:pPr>
              <w:numPr>
                <w:ilvl w:val="0"/>
                <w:numId w:val="24"/>
              </w:numPr>
              <w:jc w:val="left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Construction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7E8A107" w14:textId="0D906871" w:rsidR="00537505" w:rsidRDefault="0082531E" w:rsidP="000755E4">
            <w:pPr>
              <w:jc w:val="center"/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kern w:val="24"/>
                <w:sz w:val="20"/>
                <w:szCs w:val="20"/>
                <w:lang w:eastAsia="en-AU"/>
              </w:rPr>
              <w:t>8.5%</w:t>
            </w:r>
          </w:p>
        </w:tc>
      </w:tr>
    </w:tbl>
    <w:p w14:paraId="48E923F8" w14:textId="77777777" w:rsidR="00F906A0" w:rsidRDefault="00F906A0" w:rsidP="00F906A0"/>
    <w:p w14:paraId="1F74086D" w14:textId="5A2E9A7A" w:rsidR="00951936" w:rsidRDefault="00951936" w:rsidP="00DA2A8F">
      <w:pPr>
        <w:pStyle w:val="Heading3"/>
      </w:pPr>
      <w:r>
        <w:t>Socio-economic Index</w:t>
      </w:r>
    </w:p>
    <w:p w14:paraId="5DFA7754" w14:textId="62BC6A9C" w:rsidR="00D103AA" w:rsidRDefault="007215C1" w:rsidP="007215C1">
      <w:r>
        <w:t>The Australian Bureau of Statistics produces</w:t>
      </w:r>
      <w:r w:rsidR="00034A1A">
        <w:t xml:space="preserve"> </w:t>
      </w:r>
      <w:r>
        <w:t>Socio-econo</w:t>
      </w:r>
      <w:r w:rsidR="00034A1A">
        <w:t>mic</w:t>
      </w:r>
      <w:r>
        <w:t xml:space="preserve"> Ind</w:t>
      </w:r>
      <w:r w:rsidR="00034A1A">
        <w:t>ices</w:t>
      </w:r>
      <w:r>
        <w:t xml:space="preserve"> from census data.</w:t>
      </w:r>
      <w:r w:rsidR="00F906A0">
        <w:t xml:space="preserve"> </w:t>
      </w:r>
      <w:r>
        <w:t xml:space="preserve"> </w:t>
      </w:r>
      <w:r w:rsidR="00034A1A">
        <w:t xml:space="preserve">An area could be considered disadvantaged if there were many households with low incomes, many people </w:t>
      </w:r>
      <w:r w:rsidR="0087000B">
        <w:t>with no qualifications or many people in low-</w:t>
      </w:r>
      <w:r w:rsidR="00034A1A">
        <w:t xml:space="preserve">skill occupations.  </w:t>
      </w:r>
    </w:p>
    <w:p w14:paraId="38F2F748" w14:textId="43E82456" w:rsidR="00D103AA" w:rsidRDefault="00D103AA" w:rsidP="007215C1">
      <w:r>
        <w:t>The latest Socio-economic Indices are from the 2016 census data published in 2018.</w:t>
      </w:r>
    </w:p>
    <w:p w14:paraId="1070A000" w14:textId="7FA1620C" w:rsidR="00705251" w:rsidRDefault="00034A1A" w:rsidP="007215C1">
      <w:r w:rsidRPr="00705251">
        <w:lastRenderedPageBreak/>
        <w:t xml:space="preserve">The following map shows </w:t>
      </w:r>
      <w:r w:rsidR="00705251" w:rsidRPr="00705251">
        <w:t>the Index of Relative Socio-Economic Disadvantage (IRSD) for South Australia.</w:t>
      </w:r>
      <w:r w:rsidR="00705251">
        <w:t xml:space="preserve">  </w:t>
      </w:r>
      <w:r w:rsidR="0082531E">
        <w:t>Tumby Bay</w:t>
      </w:r>
      <w:r w:rsidR="00705251">
        <w:t xml:space="preserve"> has an index of </w:t>
      </w:r>
      <w:r w:rsidR="00DD74B8">
        <w:t>9</w:t>
      </w:r>
      <w:r w:rsidR="0082531E">
        <w:t>94</w:t>
      </w:r>
      <w:r w:rsidR="00705251">
        <w:t>.  A higher score means a lower level of disadvantage.</w:t>
      </w:r>
    </w:p>
    <w:p w14:paraId="76315352" w14:textId="2E0E7218" w:rsidR="0082531E" w:rsidRDefault="0082531E" w:rsidP="007215C1">
      <w:r>
        <w:t>4</w:t>
      </w:r>
      <w:r w:rsidR="007A44D4">
        <w:t>0</w:t>
      </w:r>
      <w:r w:rsidR="00705251">
        <w:t xml:space="preserve"> Councils in SA have a lower score</w:t>
      </w:r>
      <w:r w:rsidR="00E21245">
        <w:t xml:space="preserve"> and a higher disadvantage</w:t>
      </w:r>
      <w:r w:rsidR="00F906A0">
        <w:t>,</w:t>
      </w:r>
      <w:r w:rsidR="00705251">
        <w:t xml:space="preserve"> </w:t>
      </w:r>
      <w:r w:rsidR="00E21245">
        <w:t xml:space="preserve">and </w:t>
      </w:r>
      <w:r w:rsidR="007A44D4">
        <w:t>26</w:t>
      </w:r>
      <w:r w:rsidR="00E21245">
        <w:t xml:space="preserve"> have a higher score and </w:t>
      </w:r>
      <w:r w:rsidR="00F906A0">
        <w:t xml:space="preserve">a </w:t>
      </w:r>
      <w:r w:rsidR="00E21245">
        <w:t>lower</w:t>
      </w:r>
      <w:r w:rsidR="00705251">
        <w:t xml:space="preserve"> disadvantage.  </w:t>
      </w:r>
      <w:r>
        <w:t>Tumby Bay</w:t>
      </w:r>
      <w:r w:rsidR="00F906A0">
        <w:t>'</w:t>
      </w:r>
      <w:r>
        <w:t>s</w:t>
      </w:r>
      <w:r w:rsidR="00705251">
        <w:t xml:space="preserve"> score is higher than the average for </w:t>
      </w:r>
      <w:r w:rsidR="007A44D4">
        <w:t xml:space="preserve">Councils in the </w:t>
      </w:r>
      <w:r w:rsidR="00705251">
        <w:t>Eyre Peninsula</w:t>
      </w:r>
      <w:r w:rsidR="00F906A0">
        <w:t>,</w:t>
      </w:r>
      <w:r w:rsidR="00705251">
        <w:t xml:space="preserve"> which is </w:t>
      </w:r>
      <w:r w:rsidR="007A44D4">
        <w:t>979</w:t>
      </w:r>
      <w:r>
        <w:t>.</w:t>
      </w:r>
      <w:r w:rsidR="00E21245">
        <w:t xml:space="preserve"> </w:t>
      </w:r>
    </w:p>
    <w:p w14:paraId="720FD99D" w14:textId="0DE1EC8E" w:rsidR="00237AE8" w:rsidRDefault="0082531E" w:rsidP="007215C1">
      <w:r>
        <w:t>The Relative Socio-Economic Disadvantage Scores for the Eyre Peninsula are:</w:t>
      </w:r>
    </w:p>
    <w:p w14:paraId="65E3AA5C" w14:textId="59A5C8B7" w:rsidR="0082531E" w:rsidRDefault="0082531E" w:rsidP="00F860F6">
      <w:pPr>
        <w:spacing w:after="0"/>
        <w:ind w:left="360"/>
      </w:pPr>
      <w:r>
        <w:t>Lower Eyre Peninsula</w:t>
      </w:r>
      <w:r>
        <w:tab/>
      </w:r>
      <w:r>
        <w:tab/>
      </w:r>
      <w:r>
        <w:tab/>
      </w:r>
      <w:r>
        <w:tab/>
        <w:t>1,033</w:t>
      </w:r>
    </w:p>
    <w:p w14:paraId="7301D0AF" w14:textId="2A908513" w:rsidR="0082531E" w:rsidRDefault="0082531E" w:rsidP="00F860F6">
      <w:pPr>
        <w:spacing w:after="0"/>
        <w:ind w:left="360"/>
      </w:pPr>
      <w:r>
        <w:t>Kimba</w:t>
      </w:r>
      <w:r>
        <w:tab/>
      </w:r>
      <w:r>
        <w:tab/>
      </w:r>
      <w:r>
        <w:tab/>
      </w:r>
      <w:r>
        <w:tab/>
      </w:r>
      <w:r>
        <w:tab/>
      </w:r>
      <w:r>
        <w:tab/>
        <w:t>1,020</w:t>
      </w:r>
    </w:p>
    <w:p w14:paraId="1821502F" w14:textId="423C2C6C" w:rsidR="0082531E" w:rsidRDefault="0082531E" w:rsidP="00F860F6">
      <w:pPr>
        <w:spacing w:after="0"/>
        <w:ind w:left="360"/>
      </w:pPr>
      <w:r>
        <w:t>Wudinna</w:t>
      </w:r>
      <w:r>
        <w:tab/>
      </w:r>
      <w:r>
        <w:tab/>
      </w:r>
      <w:r>
        <w:tab/>
      </w:r>
      <w:r>
        <w:tab/>
      </w:r>
      <w:r>
        <w:tab/>
      </w:r>
      <w:r w:rsidR="00F860F6">
        <w:tab/>
      </w:r>
      <w:r>
        <w:t>1,009</w:t>
      </w:r>
    </w:p>
    <w:p w14:paraId="0086E054" w14:textId="1981102A" w:rsidR="0082531E" w:rsidRDefault="0082531E" w:rsidP="00F860F6">
      <w:pPr>
        <w:spacing w:after="0"/>
        <w:ind w:left="360"/>
      </w:pPr>
      <w:r>
        <w:t>Streaky Bay</w:t>
      </w:r>
      <w:r>
        <w:tab/>
      </w:r>
      <w:r>
        <w:tab/>
      </w:r>
      <w:r>
        <w:tab/>
      </w:r>
      <w:r>
        <w:tab/>
      </w:r>
      <w:r>
        <w:tab/>
      </w:r>
      <w:r w:rsidR="00F860F6">
        <w:tab/>
      </w:r>
      <w:r>
        <w:t>1,000</w:t>
      </w:r>
    </w:p>
    <w:p w14:paraId="592F4BE4" w14:textId="24909AD3" w:rsidR="0082531E" w:rsidRDefault="0082531E" w:rsidP="00F860F6">
      <w:pPr>
        <w:spacing w:after="0"/>
        <w:ind w:left="360"/>
      </w:pPr>
      <w:r w:rsidRPr="007A44D4">
        <w:rPr>
          <w:highlight w:val="green"/>
        </w:rPr>
        <w:t>Tumby Bay</w:t>
      </w:r>
      <w:r w:rsidR="00F860F6" w:rsidRPr="007A44D4">
        <w:rPr>
          <w:highlight w:val="green"/>
        </w:rPr>
        <w:tab/>
      </w:r>
      <w:r w:rsidR="00F860F6" w:rsidRPr="007A44D4">
        <w:rPr>
          <w:highlight w:val="green"/>
        </w:rPr>
        <w:tab/>
      </w:r>
      <w:r w:rsidR="00F860F6" w:rsidRPr="007A44D4">
        <w:rPr>
          <w:highlight w:val="green"/>
        </w:rPr>
        <w:tab/>
      </w:r>
      <w:r w:rsidR="00F860F6" w:rsidRPr="007A44D4">
        <w:rPr>
          <w:highlight w:val="green"/>
        </w:rPr>
        <w:tab/>
      </w:r>
      <w:r w:rsidR="00F860F6" w:rsidRPr="007A44D4">
        <w:rPr>
          <w:highlight w:val="green"/>
        </w:rPr>
        <w:tab/>
      </w:r>
      <w:r w:rsidR="00F860F6" w:rsidRPr="007A44D4">
        <w:rPr>
          <w:highlight w:val="green"/>
        </w:rPr>
        <w:tab/>
        <w:t xml:space="preserve">   994</w:t>
      </w:r>
    </w:p>
    <w:p w14:paraId="59FA7974" w14:textId="2420F9D9" w:rsidR="00F860F6" w:rsidRDefault="00F860F6" w:rsidP="00F860F6">
      <w:pPr>
        <w:spacing w:after="0"/>
        <w:ind w:left="360"/>
      </w:pPr>
      <w:r>
        <w:t>Cleve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989</w:t>
      </w:r>
    </w:p>
    <w:p w14:paraId="29232BAD" w14:textId="05C2C79D" w:rsidR="00F860F6" w:rsidRDefault="00F860F6" w:rsidP="00F860F6">
      <w:pPr>
        <w:spacing w:after="0"/>
        <w:ind w:left="360"/>
      </w:pPr>
      <w:r>
        <w:t>Franklin Harbour</w:t>
      </w:r>
      <w:r>
        <w:tab/>
      </w:r>
      <w:r>
        <w:tab/>
      </w:r>
      <w:r>
        <w:tab/>
      </w:r>
      <w:r>
        <w:tab/>
      </w:r>
      <w:r>
        <w:tab/>
        <w:t xml:space="preserve">   959</w:t>
      </w:r>
    </w:p>
    <w:p w14:paraId="7AC6D773" w14:textId="414CF512" w:rsidR="00F860F6" w:rsidRDefault="00F860F6" w:rsidP="00F860F6">
      <w:pPr>
        <w:spacing w:after="0"/>
        <w:ind w:left="360"/>
      </w:pPr>
      <w:r>
        <w:t>Elliston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959</w:t>
      </w:r>
    </w:p>
    <w:p w14:paraId="1D30326F" w14:textId="6BBA8BC1" w:rsidR="00F860F6" w:rsidRDefault="00F860F6" w:rsidP="00F860F6">
      <w:pPr>
        <w:spacing w:after="0"/>
        <w:ind w:left="360"/>
      </w:pPr>
      <w:r>
        <w:t>Ceduna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943</w:t>
      </w:r>
    </w:p>
    <w:p w14:paraId="0DDD9463" w14:textId="42DBDA08" w:rsidR="007A44D4" w:rsidRDefault="007A44D4" w:rsidP="00F860F6">
      <w:pPr>
        <w:spacing w:after="0"/>
        <w:ind w:left="360"/>
      </w:pPr>
      <w:r>
        <w:t>Whyalla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883</w:t>
      </w:r>
    </w:p>
    <w:p w14:paraId="570371EA" w14:textId="07483BFA" w:rsidR="00F860F6" w:rsidRDefault="00F906A0" w:rsidP="00F906A0">
      <w:pPr>
        <w:spacing w:after="0"/>
        <w:ind w:left="360"/>
      </w:pPr>
      <w:r w:rsidRPr="00D028DF">
        <w:rPr>
          <w:noProof/>
          <w:lang w:eastAsia="en-AU"/>
        </w:rPr>
        <w:drawing>
          <wp:anchor distT="0" distB="0" distL="114300" distR="114300" simplePos="0" relativeHeight="251659263" behindDoc="0" locked="0" layoutInCell="1" allowOverlap="1" wp14:anchorId="0BBCDADF" wp14:editId="575F8429">
            <wp:simplePos x="0" y="0"/>
            <wp:positionH relativeFrom="column">
              <wp:posOffset>-38100</wp:posOffset>
            </wp:positionH>
            <wp:positionV relativeFrom="page">
              <wp:posOffset>4371340</wp:posOffset>
            </wp:positionV>
            <wp:extent cx="5731510" cy="3335655"/>
            <wp:effectExtent l="0" t="0" r="2540" b="0"/>
            <wp:wrapSquare wrapText="bothSides"/>
            <wp:docPr id="950434292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34292" name="Picture 1" descr="Map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F514E" w14:textId="19F9729A" w:rsidR="00F906A0" w:rsidRDefault="00F906A0" w:rsidP="00F906A0">
      <w:pPr>
        <w:spacing w:after="0"/>
        <w:ind w:left="360"/>
      </w:pPr>
    </w:p>
    <w:p w14:paraId="48B2B283" w14:textId="33B270DC" w:rsidR="007215C1" w:rsidRPr="007215C1" w:rsidRDefault="007215C1" w:rsidP="00084C2B">
      <w:pPr>
        <w:pStyle w:val="Heading1"/>
      </w:pPr>
      <w:bookmarkStart w:id="49" w:name="_Toc466578212"/>
      <w:bookmarkStart w:id="50" w:name="_Toc148095023"/>
      <w:r w:rsidRPr="007215C1">
        <w:t>Issues and Impact of Current Rating System on the Community</w:t>
      </w:r>
      <w:bookmarkEnd w:id="49"/>
      <w:bookmarkEnd w:id="50"/>
    </w:p>
    <w:p w14:paraId="524B9E4F" w14:textId="250F988F" w:rsidR="00D103AA" w:rsidRDefault="007A44D4" w:rsidP="007215C1">
      <w:r>
        <w:t>Tumby Bay</w:t>
      </w:r>
      <w:r w:rsidR="00F906A0">
        <w:t>'</w:t>
      </w:r>
      <w:r>
        <w:t>s</w:t>
      </w:r>
      <w:r w:rsidR="001720F0" w:rsidRPr="00207EE1">
        <w:t xml:space="preserve"> </w:t>
      </w:r>
      <w:r w:rsidR="0087000B" w:rsidRPr="00207EE1">
        <w:t>r</w:t>
      </w:r>
      <w:r w:rsidR="001720F0" w:rsidRPr="00207EE1">
        <w:t xml:space="preserve">ating is based on </w:t>
      </w:r>
      <w:r w:rsidR="00D103AA" w:rsidRPr="00207EE1">
        <w:t>Site Value.</w:t>
      </w:r>
      <w:r w:rsidR="00F906A0">
        <w:t xml:space="preserve"> </w:t>
      </w:r>
      <w:r w:rsidR="00D103AA" w:rsidRPr="00207EE1">
        <w:t xml:space="preserve"> Taxation is based on higher values resulting in higher rates;</w:t>
      </w:r>
      <w:r w:rsidR="00D103AA">
        <w:t xml:space="preserve"> however, Site Value doesn</w:t>
      </w:r>
      <w:r w:rsidR="00F906A0">
        <w:t>'</w:t>
      </w:r>
      <w:r w:rsidR="00D103AA">
        <w:t xml:space="preserve">t </w:t>
      </w:r>
      <w:r w:rsidR="0087000B">
        <w:t>consider a property</w:t>
      </w:r>
      <w:r w:rsidR="00F906A0">
        <w:t>'</w:t>
      </w:r>
      <w:r w:rsidR="0087000B">
        <w:t>s entire value</w:t>
      </w:r>
      <w:r w:rsidR="00D103AA">
        <w:t>.</w:t>
      </w:r>
      <w:r w:rsidR="00F906A0">
        <w:t xml:space="preserve"> </w:t>
      </w:r>
      <w:r w:rsidR="00D103AA">
        <w:t xml:space="preserve"> This means that two properties next to each other that are the same land size pay the same rates when using Site Value, even if one property has a large</w:t>
      </w:r>
      <w:r w:rsidR="0087000B">
        <w:t>,</w:t>
      </w:r>
      <w:r w:rsidR="00D103AA">
        <w:t xml:space="preserve"> expensive house and the other a small</w:t>
      </w:r>
      <w:r w:rsidR="0087000B">
        <w:t>,</w:t>
      </w:r>
      <w:r w:rsidR="00D103AA">
        <w:t xml:space="preserve"> moderate house.</w:t>
      </w:r>
      <w:r w:rsidR="00F906A0">
        <w:t xml:space="preserve"> </w:t>
      </w:r>
      <w:r w:rsidR="00D103AA">
        <w:t xml:space="preserve"> Capital Value means that the larger</w:t>
      </w:r>
      <w:r w:rsidR="0087000B">
        <w:t>,</w:t>
      </w:r>
      <w:r w:rsidR="00D103AA">
        <w:t xml:space="preserve"> more expensive house is rated higher than the smaller house.</w:t>
      </w:r>
    </w:p>
    <w:p w14:paraId="0A77322C" w14:textId="0EBC7B4B" w:rsidR="007215C1" w:rsidRPr="007215C1" w:rsidRDefault="00D103AA" w:rsidP="007215C1">
      <w:r>
        <w:lastRenderedPageBreak/>
        <w:t>Council also uses Locality to create a different rating level for different types of properties.</w:t>
      </w:r>
      <w:r w:rsidR="00F906A0">
        <w:t xml:space="preserve"> </w:t>
      </w:r>
      <w:r w:rsidR="001720F0">
        <w:t xml:space="preserve"> This system </w:t>
      </w:r>
      <w:r w:rsidR="00883CC3">
        <w:t>makes it difficult for Council to use rating as a tool for assisting in achieving the Council</w:t>
      </w:r>
      <w:r w:rsidR="00F906A0">
        <w:t>'</w:t>
      </w:r>
      <w:r w:rsidR="00883CC3">
        <w:t>s strategies and goals and in assisting different types of ratepayers.</w:t>
      </w:r>
    </w:p>
    <w:p w14:paraId="51D777A7" w14:textId="77777777" w:rsidR="007215C1" w:rsidRPr="004558D9" w:rsidRDefault="007215C1" w:rsidP="00084C2B">
      <w:pPr>
        <w:pStyle w:val="Heading1"/>
      </w:pPr>
      <w:bookmarkStart w:id="51" w:name="_Toc148095024"/>
      <w:bookmarkStart w:id="52" w:name="_Toc466578213"/>
      <w:r w:rsidRPr="004558D9">
        <w:t>Rating Structure – Potential Changes and the Impact</w:t>
      </w:r>
      <w:bookmarkEnd w:id="51"/>
      <w:r w:rsidRPr="004558D9">
        <w:t xml:space="preserve"> </w:t>
      </w:r>
      <w:bookmarkEnd w:id="52"/>
    </w:p>
    <w:p w14:paraId="3738243C" w14:textId="29E11483" w:rsidR="007215C1" w:rsidRDefault="007215C1" w:rsidP="009D295F">
      <w:pPr>
        <w:spacing w:after="0" w:line="240" w:lineRule="auto"/>
      </w:pPr>
      <w:r w:rsidRPr="007215C1">
        <w:t xml:space="preserve">Council </w:t>
      </w:r>
      <w:r w:rsidR="001720F0">
        <w:t xml:space="preserve">has held workshops </w:t>
      </w:r>
      <w:r w:rsidRPr="007215C1">
        <w:t>with Elected Members to explore the issues around the current rating structure</w:t>
      </w:r>
      <w:r w:rsidR="001720F0">
        <w:t>, the legislation requirements of moving to Capital Value</w:t>
      </w:r>
      <w:r w:rsidR="0087000B">
        <w:t>,</w:t>
      </w:r>
      <w:r w:rsidR="001720F0">
        <w:t xml:space="preserve"> and to con</w:t>
      </w:r>
      <w:r w:rsidRPr="007215C1">
        <w:t>sider potential improvements</w:t>
      </w:r>
      <w:r w:rsidR="001720F0">
        <w:t xml:space="preserve"> in the </w:t>
      </w:r>
      <w:r w:rsidR="0087000B">
        <w:t>existing</w:t>
      </w:r>
      <w:r w:rsidR="001720F0">
        <w:t xml:space="preserve"> structure.</w:t>
      </w:r>
      <w:r w:rsidR="00F906A0">
        <w:t xml:space="preserve"> </w:t>
      </w:r>
      <w:r w:rsidR="009D295F">
        <w:t xml:space="preserve"> </w:t>
      </w:r>
      <w:r w:rsidRPr="007215C1">
        <w:t>The outcomes of the workshops were to consider;</w:t>
      </w:r>
    </w:p>
    <w:p w14:paraId="327C017E" w14:textId="77777777" w:rsidR="009D295F" w:rsidRDefault="009D295F" w:rsidP="009D295F">
      <w:pPr>
        <w:spacing w:after="0" w:line="240" w:lineRule="auto"/>
      </w:pPr>
    </w:p>
    <w:p w14:paraId="55CCAA3F" w14:textId="442B306E" w:rsidR="007215C1" w:rsidRDefault="001720F0" w:rsidP="0087000B">
      <w:pPr>
        <w:numPr>
          <w:ilvl w:val="0"/>
          <w:numId w:val="15"/>
        </w:numPr>
        <w:contextualSpacing/>
      </w:pPr>
      <w:r>
        <w:t xml:space="preserve">Introducing a system based on </w:t>
      </w:r>
      <w:r w:rsidR="00F906A0">
        <w:t>Land Use</w:t>
      </w:r>
      <w:r w:rsidR="007A44D4">
        <w:t xml:space="preserve"> </w:t>
      </w:r>
    </w:p>
    <w:p w14:paraId="4649E840" w14:textId="1A3551A6" w:rsidR="007A44D4" w:rsidRDefault="007A44D4" w:rsidP="0087000B">
      <w:pPr>
        <w:numPr>
          <w:ilvl w:val="0"/>
          <w:numId w:val="15"/>
        </w:numPr>
        <w:contextualSpacing/>
      </w:pPr>
      <w:r>
        <w:t xml:space="preserve">Retaining the </w:t>
      </w:r>
      <w:r w:rsidR="00F906A0">
        <w:t>Locality</w:t>
      </w:r>
      <w:r>
        <w:t xml:space="preserve"> category for Silos.</w:t>
      </w:r>
    </w:p>
    <w:p w14:paraId="1B02AB26" w14:textId="441A7CC4" w:rsidR="009D295F" w:rsidRDefault="009D295F" w:rsidP="009D295F">
      <w:pPr>
        <w:spacing w:after="0"/>
        <w:contextualSpacing/>
      </w:pPr>
    </w:p>
    <w:p w14:paraId="416AAC73" w14:textId="08EF4DF5" w:rsidR="00780154" w:rsidRPr="004558D9" w:rsidRDefault="00F906A0" w:rsidP="008749D6">
      <w:pPr>
        <w:pStyle w:val="Heading2"/>
      </w:pPr>
      <w:bookmarkStart w:id="53" w:name="_Toc148095025"/>
      <w:r>
        <w:t>Land Use</w:t>
      </w:r>
      <w:r w:rsidR="00D31D43">
        <w:t xml:space="preserve"> System</w:t>
      </w:r>
      <w:bookmarkEnd w:id="53"/>
    </w:p>
    <w:p w14:paraId="0CA0190F" w14:textId="7E3C5CA3" w:rsidR="00780154" w:rsidRPr="00780154" w:rsidRDefault="00780154" w:rsidP="00780154">
      <w:pPr>
        <w:rPr>
          <w:noProof/>
          <w:lang w:eastAsia="en-AU"/>
        </w:rPr>
      </w:pPr>
      <w:r w:rsidRPr="00780154">
        <w:rPr>
          <w:noProof/>
          <w:lang w:eastAsia="en-AU"/>
        </w:rPr>
        <w:t>As described previously</w:t>
      </w:r>
      <w:r w:rsidR="0087000B">
        <w:rPr>
          <w:noProof/>
          <w:lang w:eastAsia="en-AU"/>
        </w:rPr>
        <w:t>,</w:t>
      </w:r>
      <w:r w:rsidRPr="00780154">
        <w:rPr>
          <w:noProof/>
          <w:lang w:eastAsia="en-AU"/>
        </w:rPr>
        <w:t xml:space="preserve"> the </w:t>
      </w:r>
      <w:r w:rsidR="00F906A0">
        <w:rPr>
          <w:noProof/>
          <w:lang w:eastAsia="en-AU"/>
        </w:rPr>
        <w:t>'</w:t>
      </w:r>
      <w:r w:rsidR="0087000B">
        <w:rPr>
          <w:noProof/>
          <w:lang w:eastAsia="en-AU"/>
        </w:rPr>
        <w:t>R</w:t>
      </w:r>
      <w:r w:rsidRPr="00780154">
        <w:rPr>
          <w:noProof/>
          <w:lang w:eastAsia="en-AU"/>
        </w:rPr>
        <w:t xml:space="preserve">ate in the </w:t>
      </w:r>
      <w:r w:rsidR="0087000B">
        <w:rPr>
          <w:noProof/>
          <w:lang w:eastAsia="en-AU"/>
        </w:rPr>
        <w:t>D</w:t>
      </w:r>
      <w:r w:rsidRPr="00780154">
        <w:rPr>
          <w:noProof/>
          <w:lang w:eastAsia="en-AU"/>
        </w:rPr>
        <w:t>ollar</w:t>
      </w:r>
      <w:r w:rsidR="00F906A0">
        <w:rPr>
          <w:noProof/>
          <w:lang w:eastAsia="en-AU"/>
        </w:rPr>
        <w:t>'</w:t>
      </w:r>
      <w:r w:rsidRPr="00780154">
        <w:rPr>
          <w:noProof/>
          <w:lang w:eastAsia="en-AU"/>
        </w:rPr>
        <w:t xml:space="preserve"> is set depending on what the property is used for.</w:t>
      </w:r>
      <w:r w:rsidR="00F906A0">
        <w:rPr>
          <w:noProof/>
          <w:lang w:eastAsia="en-AU"/>
        </w:rPr>
        <w:t xml:space="preserve"> </w:t>
      </w:r>
      <w:r w:rsidRPr="00780154">
        <w:rPr>
          <w:noProof/>
          <w:lang w:eastAsia="en-AU"/>
        </w:rPr>
        <w:t xml:space="preserve"> The Valuer General determines the </w:t>
      </w:r>
      <w:r w:rsidR="00F906A0">
        <w:rPr>
          <w:noProof/>
          <w:lang w:eastAsia="en-AU"/>
        </w:rPr>
        <w:t>Land Use</w:t>
      </w:r>
      <w:r w:rsidRPr="00780154">
        <w:rPr>
          <w:noProof/>
          <w:lang w:eastAsia="en-AU"/>
        </w:rPr>
        <w:t xml:space="preserve"> in accordance with the prescribed Local Government </w:t>
      </w:r>
      <w:r w:rsidR="00F906A0">
        <w:rPr>
          <w:noProof/>
          <w:lang w:eastAsia="en-AU"/>
        </w:rPr>
        <w:t>Land Use</w:t>
      </w:r>
      <w:r w:rsidRPr="00780154">
        <w:rPr>
          <w:noProof/>
          <w:lang w:eastAsia="en-AU"/>
        </w:rPr>
        <w:t xml:space="preserve"> Codes as contained within the Local Government Regulations.</w:t>
      </w:r>
      <w:r w:rsidR="00F906A0">
        <w:rPr>
          <w:noProof/>
          <w:lang w:eastAsia="en-AU"/>
        </w:rPr>
        <w:t xml:space="preserve"> </w:t>
      </w:r>
      <w:r w:rsidRPr="00780154">
        <w:rPr>
          <w:noProof/>
          <w:lang w:eastAsia="en-AU"/>
        </w:rPr>
        <w:t xml:space="preserve"> </w:t>
      </w:r>
      <w:r w:rsidR="00D31D43">
        <w:rPr>
          <w:noProof/>
          <w:lang w:eastAsia="en-AU"/>
        </w:rPr>
        <w:t xml:space="preserve">The </w:t>
      </w:r>
      <w:r w:rsidR="00F906A0">
        <w:rPr>
          <w:noProof/>
          <w:lang w:eastAsia="en-AU"/>
        </w:rPr>
        <w:t>Land Use</w:t>
      </w:r>
      <w:r w:rsidR="00D31D43">
        <w:rPr>
          <w:noProof/>
          <w:lang w:eastAsia="en-AU"/>
        </w:rPr>
        <w:t xml:space="preserve"> categories that </w:t>
      </w:r>
      <w:r w:rsidR="0087000B">
        <w:rPr>
          <w:noProof/>
          <w:lang w:eastAsia="en-AU"/>
        </w:rPr>
        <w:t>Council is considering</w:t>
      </w:r>
      <w:r w:rsidR="00D31D43">
        <w:rPr>
          <w:noProof/>
          <w:lang w:eastAsia="en-AU"/>
        </w:rPr>
        <w:t xml:space="preserve"> are;</w:t>
      </w:r>
    </w:p>
    <w:p w14:paraId="74EDFBA2" w14:textId="77777777" w:rsidR="00780154" w:rsidRPr="00780154" w:rsidRDefault="00780154" w:rsidP="00471175">
      <w:pPr>
        <w:numPr>
          <w:ilvl w:val="0"/>
          <w:numId w:val="7"/>
        </w:numPr>
        <w:spacing w:after="0"/>
        <w:rPr>
          <w:noProof/>
          <w:lang w:eastAsia="en-AU"/>
        </w:rPr>
      </w:pPr>
      <w:r w:rsidRPr="00780154">
        <w:rPr>
          <w:noProof/>
          <w:lang w:eastAsia="en-AU"/>
        </w:rPr>
        <w:t xml:space="preserve">Residential </w:t>
      </w:r>
    </w:p>
    <w:p w14:paraId="68DB75FA" w14:textId="0BB07A84" w:rsidR="00780154" w:rsidRPr="00780154" w:rsidRDefault="00780154" w:rsidP="00471175">
      <w:pPr>
        <w:numPr>
          <w:ilvl w:val="0"/>
          <w:numId w:val="7"/>
        </w:numPr>
        <w:spacing w:after="0"/>
        <w:rPr>
          <w:noProof/>
          <w:lang w:eastAsia="en-AU"/>
        </w:rPr>
      </w:pPr>
      <w:r w:rsidRPr="00780154">
        <w:rPr>
          <w:noProof/>
          <w:lang w:eastAsia="en-AU"/>
        </w:rPr>
        <w:t xml:space="preserve">Commercial </w:t>
      </w:r>
      <w:r w:rsidR="00D31D43">
        <w:rPr>
          <w:noProof/>
          <w:lang w:eastAsia="en-AU"/>
        </w:rPr>
        <w:t>(</w:t>
      </w:r>
      <w:r w:rsidRPr="00780154">
        <w:rPr>
          <w:noProof/>
          <w:lang w:eastAsia="en-AU"/>
        </w:rPr>
        <w:t>Shop</w:t>
      </w:r>
      <w:r w:rsidR="00D31D43">
        <w:rPr>
          <w:noProof/>
          <w:lang w:eastAsia="en-AU"/>
        </w:rPr>
        <w:t>, Office, Other)</w:t>
      </w:r>
    </w:p>
    <w:p w14:paraId="257BFD74" w14:textId="7382500C" w:rsidR="00780154" w:rsidRPr="00780154" w:rsidRDefault="00780154" w:rsidP="00471175">
      <w:pPr>
        <w:numPr>
          <w:ilvl w:val="0"/>
          <w:numId w:val="7"/>
        </w:numPr>
        <w:spacing w:after="0"/>
        <w:rPr>
          <w:noProof/>
          <w:lang w:eastAsia="en-AU"/>
        </w:rPr>
      </w:pPr>
      <w:r w:rsidRPr="00780154">
        <w:rPr>
          <w:noProof/>
          <w:lang w:eastAsia="en-AU"/>
        </w:rPr>
        <w:t xml:space="preserve">Industrial </w:t>
      </w:r>
      <w:r w:rsidR="00D31D43">
        <w:rPr>
          <w:noProof/>
          <w:lang w:eastAsia="en-AU"/>
        </w:rPr>
        <w:t>(Light, Other)</w:t>
      </w:r>
    </w:p>
    <w:p w14:paraId="2B99F3CC" w14:textId="77777777" w:rsidR="00780154" w:rsidRPr="00780154" w:rsidRDefault="00780154" w:rsidP="00471175">
      <w:pPr>
        <w:numPr>
          <w:ilvl w:val="0"/>
          <w:numId w:val="7"/>
        </w:numPr>
        <w:spacing w:after="0"/>
        <w:rPr>
          <w:noProof/>
          <w:lang w:eastAsia="en-AU"/>
        </w:rPr>
      </w:pPr>
      <w:r w:rsidRPr="00780154">
        <w:rPr>
          <w:noProof/>
          <w:lang w:eastAsia="en-AU"/>
        </w:rPr>
        <w:t xml:space="preserve">Primary Production </w:t>
      </w:r>
    </w:p>
    <w:p w14:paraId="4C2AB545" w14:textId="77777777" w:rsidR="00780154" w:rsidRPr="00780154" w:rsidRDefault="00780154" w:rsidP="00471175">
      <w:pPr>
        <w:numPr>
          <w:ilvl w:val="0"/>
          <w:numId w:val="7"/>
        </w:numPr>
        <w:spacing w:after="0"/>
        <w:rPr>
          <w:noProof/>
          <w:lang w:eastAsia="en-AU"/>
        </w:rPr>
      </w:pPr>
      <w:r w:rsidRPr="00780154">
        <w:rPr>
          <w:noProof/>
          <w:lang w:eastAsia="en-AU"/>
        </w:rPr>
        <w:t xml:space="preserve">Vacant Land  </w:t>
      </w:r>
    </w:p>
    <w:p w14:paraId="1D7901F1" w14:textId="77777777" w:rsidR="00780154" w:rsidRPr="00780154" w:rsidRDefault="00780154" w:rsidP="00471175">
      <w:pPr>
        <w:numPr>
          <w:ilvl w:val="0"/>
          <w:numId w:val="7"/>
        </w:numPr>
        <w:spacing w:after="0"/>
        <w:rPr>
          <w:noProof/>
          <w:lang w:eastAsia="en-AU"/>
        </w:rPr>
      </w:pPr>
      <w:r w:rsidRPr="00780154">
        <w:rPr>
          <w:noProof/>
          <w:lang w:eastAsia="en-AU"/>
        </w:rPr>
        <w:t>Other</w:t>
      </w:r>
    </w:p>
    <w:p w14:paraId="6C4ADD37" w14:textId="660E2922" w:rsidR="007A44D4" w:rsidRPr="00DC6BCF" w:rsidRDefault="00780154" w:rsidP="007A44D4">
      <w:pPr>
        <w:numPr>
          <w:ilvl w:val="0"/>
          <w:numId w:val="7"/>
        </w:numPr>
        <w:spacing w:after="0"/>
        <w:rPr>
          <w:noProof/>
          <w:lang w:eastAsia="en-AU"/>
        </w:rPr>
      </w:pPr>
      <w:r w:rsidRPr="00DC6BCF">
        <w:rPr>
          <w:noProof/>
          <w:lang w:eastAsia="en-AU"/>
        </w:rPr>
        <w:t>Marina Berth</w:t>
      </w:r>
      <w:r w:rsidR="007A44D4">
        <w:rPr>
          <w:noProof/>
          <w:lang w:eastAsia="en-AU"/>
        </w:rPr>
        <w:t>s</w:t>
      </w:r>
    </w:p>
    <w:p w14:paraId="763A69BD" w14:textId="77777777" w:rsidR="00D31D43" w:rsidRDefault="00D31D43" w:rsidP="00D31D43">
      <w:pPr>
        <w:spacing w:after="0"/>
        <w:rPr>
          <w:noProof/>
          <w:lang w:eastAsia="en-AU"/>
        </w:rPr>
      </w:pPr>
    </w:p>
    <w:p w14:paraId="7CF3AF7A" w14:textId="58B1FE57" w:rsidR="00C84E6A" w:rsidRDefault="00780154" w:rsidP="00780154">
      <w:pPr>
        <w:rPr>
          <w:noProof/>
          <w:lang w:eastAsia="en-AU"/>
        </w:rPr>
      </w:pPr>
      <w:r w:rsidRPr="00780154">
        <w:rPr>
          <w:noProof/>
          <w:lang w:eastAsia="en-AU"/>
        </w:rPr>
        <w:t xml:space="preserve">Rating by </w:t>
      </w:r>
      <w:r w:rsidR="00F906A0">
        <w:rPr>
          <w:noProof/>
          <w:lang w:eastAsia="en-AU"/>
        </w:rPr>
        <w:t>Land Use</w:t>
      </w:r>
      <w:r w:rsidRPr="00780154">
        <w:rPr>
          <w:noProof/>
          <w:lang w:eastAsia="en-AU"/>
        </w:rPr>
        <w:t xml:space="preserve"> divides the </w:t>
      </w:r>
      <w:r w:rsidR="00F906A0">
        <w:rPr>
          <w:noProof/>
          <w:lang w:eastAsia="en-AU"/>
        </w:rPr>
        <w:t>district's properties into more defined categories</w:t>
      </w:r>
      <w:r w:rsidRPr="00780154">
        <w:rPr>
          <w:noProof/>
          <w:lang w:eastAsia="en-AU"/>
        </w:rPr>
        <w:t>.</w:t>
      </w:r>
      <w:r w:rsidR="00F906A0">
        <w:rPr>
          <w:noProof/>
          <w:lang w:eastAsia="en-AU"/>
        </w:rPr>
        <w:t xml:space="preserve"> </w:t>
      </w:r>
      <w:r w:rsidRPr="00780154">
        <w:rPr>
          <w:noProof/>
          <w:lang w:eastAsia="en-AU"/>
        </w:rPr>
        <w:t xml:space="preserve"> It </w:t>
      </w:r>
      <w:r w:rsidR="00C84E6A">
        <w:rPr>
          <w:noProof/>
          <w:lang w:eastAsia="en-AU"/>
        </w:rPr>
        <w:t xml:space="preserve">provides more clarity about challenges for different types of properties and allows for rating strategies such as changing the differentials or providing additional rebates to </w:t>
      </w:r>
      <w:r w:rsidR="00F906A0">
        <w:rPr>
          <w:noProof/>
          <w:lang w:eastAsia="en-AU"/>
        </w:rPr>
        <w:t>assist groups of ratepayers or achieve</w:t>
      </w:r>
      <w:r w:rsidR="00C84E6A">
        <w:rPr>
          <w:noProof/>
          <w:lang w:eastAsia="en-AU"/>
        </w:rPr>
        <w:t xml:space="preserve"> strategic objectives.</w:t>
      </w:r>
    </w:p>
    <w:p w14:paraId="695D077F" w14:textId="5D889D87" w:rsidR="00D31D43" w:rsidRDefault="00780154" w:rsidP="00780154">
      <w:pPr>
        <w:rPr>
          <w:noProof/>
          <w:lang w:eastAsia="en-AU"/>
        </w:rPr>
      </w:pPr>
      <w:r w:rsidRPr="00780154">
        <w:rPr>
          <w:noProof/>
          <w:lang w:eastAsia="en-AU"/>
        </w:rPr>
        <w:t xml:space="preserve">An example </w:t>
      </w:r>
      <w:r w:rsidR="00D31D43">
        <w:rPr>
          <w:noProof/>
          <w:lang w:eastAsia="en-AU"/>
        </w:rPr>
        <w:t xml:space="preserve">is that valuations often increase for one type of ratepayer differently </w:t>
      </w:r>
      <w:r w:rsidR="0087000B">
        <w:rPr>
          <w:noProof/>
          <w:lang w:eastAsia="en-AU"/>
        </w:rPr>
        <w:t>from</w:t>
      </w:r>
      <w:r w:rsidR="00D31D43">
        <w:rPr>
          <w:noProof/>
          <w:lang w:eastAsia="en-AU"/>
        </w:rPr>
        <w:t xml:space="preserve"> others</w:t>
      </w:r>
      <w:r w:rsidR="0087000B">
        <w:rPr>
          <w:noProof/>
          <w:lang w:eastAsia="en-AU"/>
        </w:rPr>
        <w:t>,</w:t>
      </w:r>
      <w:r w:rsidR="00D31D43">
        <w:rPr>
          <w:noProof/>
          <w:lang w:eastAsia="en-AU"/>
        </w:rPr>
        <w:t xml:space="preserve"> and this is more easily demonstrated when using </w:t>
      </w:r>
      <w:r w:rsidR="00F906A0">
        <w:rPr>
          <w:noProof/>
          <w:lang w:eastAsia="en-AU"/>
        </w:rPr>
        <w:t>Land Use</w:t>
      </w:r>
      <w:r w:rsidR="00D31D43">
        <w:rPr>
          <w:noProof/>
          <w:lang w:eastAsia="en-AU"/>
        </w:rPr>
        <w:t xml:space="preserve"> to differentiate the properties.</w:t>
      </w:r>
      <w:r w:rsidR="00F906A0">
        <w:rPr>
          <w:noProof/>
          <w:lang w:eastAsia="en-AU"/>
        </w:rPr>
        <w:t xml:space="preserve"> </w:t>
      </w:r>
      <w:r w:rsidR="00AE02FB">
        <w:rPr>
          <w:noProof/>
          <w:lang w:eastAsia="en-AU"/>
        </w:rPr>
        <w:t xml:space="preserve"> Council can then determine if support is needed to be available for the affected ratepayers.</w:t>
      </w:r>
    </w:p>
    <w:p w14:paraId="65252031" w14:textId="358F044F" w:rsidR="00FA5DE3" w:rsidRDefault="00D31D43" w:rsidP="00780154">
      <w:pPr>
        <w:rPr>
          <w:noProof/>
          <w:lang w:eastAsia="en-AU"/>
        </w:rPr>
      </w:pPr>
      <w:r>
        <w:rPr>
          <w:noProof/>
          <w:lang w:eastAsia="en-AU"/>
        </w:rPr>
        <w:t xml:space="preserve">An example of using </w:t>
      </w:r>
      <w:r w:rsidR="0087000B">
        <w:rPr>
          <w:noProof/>
          <w:lang w:eastAsia="en-AU"/>
        </w:rPr>
        <w:t>r</w:t>
      </w:r>
      <w:r>
        <w:rPr>
          <w:noProof/>
          <w:lang w:eastAsia="en-AU"/>
        </w:rPr>
        <w:t xml:space="preserve">ating for strategic objectives </w:t>
      </w:r>
      <w:r w:rsidR="00780154" w:rsidRPr="00780154">
        <w:rPr>
          <w:noProof/>
          <w:lang w:eastAsia="en-AU"/>
        </w:rPr>
        <w:t xml:space="preserve">would be a Council that wishes </w:t>
      </w:r>
      <w:r>
        <w:rPr>
          <w:noProof/>
          <w:lang w:eastAsia="en-AU"/>
        </w:rPr>
        <w:t xml:space="preserve">to discourage vacant land and encourage </w:t>
      </w:r>
      <w:r w:rsidR="00AE02FB">
        <w:rPr>
          <w:noProof/>
          <w:lang w:eastAsia="en-AU"/>
        </w:rPr>
        <w:t>building on that land</w:t>
      </w:r>
      <w:r w:rsidR="0087000B">
        <w:rPr>
          <w:noProof/>
          <w:lang w:eastAsia="en-AU"/>
        </w:rPr>
        <w:t>;</w:t>
      </w:r>
      <w:r w:rsidR="00AE02FB">
        <w:rPr>
          <w:noProof/>
          <w:lang w:eastAsia="en-AU"/>
        </w:rPr>
        <w:t xml:space="preserve"> they might have a higher rate in the dollar for vacant land.</w:t>
      </w:r>
      <w:r w:rsidR="000325FA">
        <w:rPr>
          <w:noProof/>
          <w:lang w:eastAsia="en-AU"/>
        </w:rPr>
        <w:t xml:space="preserve">  </w:t>
      </w:r>
    </w:p>
    <w:p w14:paraId="7BB3E364" w14:textId="09AB1C31" w:rsidR="00AB486C" w:rsidRPr="00084C2B" w:rsidRDefault="00D740B3" w:rsidP="00084C2B">
      <w:pPr>
        <w:pStyle w:val="Heading1"/>
      </w:pPr>
      <w:bookmarkStart w:id="54" w:name="_Toc466578221"/>
      <w:r>
        <w:t xml:space="preserve">  </w:t>
      </w:r>
      <w:bookmarkStart w:id="55" w:name="_Toc148095026"/>
      <w:r w:rsidR="00AB486C" w:rsidRPr="00084C2B">
        <w:t>Likely Impact on Ratepayers</w:t>
      </w:r>
      <w:bookmarkEnd w:id="54"/>
      <w:bookmarkEnd w:id="55"/>
    </w:p>
    <w:p w14:paraId="4C00AEA3" w14:textId="6B7B65F3" w:rsidR="008A43D7" w:rsidRDefault="00AB486C" w:rsidP="00AB486C">
      <w:bookmarkStart w:id="56" w:name="_Toc466578224"/>
      <w:r w:rsidRPr="003423EF">
        <w:t xml:space="preserve">Changing </w:t>
      </w:r>
      <w:r w:rsidR="008A43D7">
        <w:t xml:space="preserve">from Site to Capital Value will redistribute the rates and </w:t>
      </w:r>
      <w:r w:rsidRPr="003423EF">
        <w:t xml:space="preserve">affect ratepayers </w:t>
      </w:r>
      <w:r w:rsidR="0087000B">
        <w:t>differently, with some properties paying lower rates than</w:t>
      </w:r>
      <w:r w:rsidR="008A43D7">
        <w:t xml:space="preserve"> previously and some paying more.</w:t>
      </w:r>
    </w:p>
    <w:p w14:paraId="21F48A42" w14:textId="3F33F82D" w:rsidR="00C84E6A" w:rsidRDefault="00C84E6A" w:rsidP="003868AF">
      <w:pPr>
        <w:spacing w:after="0"/>
      </w:pPr>
      <w:r>
        <w:t>The information in this section shows the effect of changing from Site to Capital Value</w:t>
      </w:r>
      <w:r w:rsidR="00032509">
        <w:t xml:space="preserve"> compared to the current</w:t>
      </w:r>
      <w:r>
        <w:t xml:space="preserve"> 2023/24 Rates.</w:t>
      </w:r>
    </w:p>
    <w:p w14:paraId="4B2461E8" w14:textId="77777777" w:rsidR="00C84E6A" w:rsidRDefault="00C84E6A" w:rsidP="003868AF">
      <w:pPr>
        <w:spacing w:after="0"/>
      </w:pPr>
    </w:p>
    <w:p w14:paraId="48BC91E3" w14:textId="45E38B4D" w:rsidR="00C84E6A" w:rsidRDefault="00C84E6A" w:rsidP="003868AF">
      <w:pPr>
        <w:spacing w:after="0"/>
      </w:pPr>
      <w:r>
        <w:t xml:space="preserve">Council will consider the total rates they need to raise for the 2024/25 year during their budget considerations in early 2024.  The total rates will increase for </w:t>
      </w:r>
      <w:r w:rsidR="00032509">
        <w:t xml:space="preserve">the </w:t>
      </w:r>
      <w:r>
        <w:t xml:space="preserve">2024/25 budget.  This means that the sample data in this section will </w:t>
      </w:r>
      <w:r w:rsidR="00F906A0">
        <w:t>differ</w:t>
      </w:r>
      <w:r>
        <w:t xml:space="preserve"> once Council</w:t>
      </w:r>
      <w:r w:rsidR="00F906A0">
        <w:t>'</w:t>
      </w:r>
      <w:r>
        <w:t xml:space="preserve">s total budget requirements are determined for </w:t>
      </w:r>
      <w:r w:rsidR="00032509">
        <w:t>2024/25.</w:t>
      </w:r>
    </w:p>
    <w:p w14:paraId="7FED5E75" w14:textId="4563F385" w:rsidR="00C84E6A" w:rsidRDefault="00C84E6A" w:rsidP="003868AF">
      <w:pPr>
        <w:spacing w:after="0"/>
      </w:pPr>
      <w:r>
        <w:lastRenderedPageBreak/>
        <w:t>Indicative RIDs are shown below</w:t>
      </w:r>
      <w:r w:rsidR="00032509">
        <w:t xml:space="preserve"> using the rating information for the current year, 2023/24.  Note </w:t>
      </w:r>
      <w:r w:rsidR="00F906A0">
        <w:t xml:space="preserve">that </w:t>
      </w:r>
      <w:r w:rsidR="00032509">
        <w:t>the RID will change for the 2024/25 rates according to the setting of the total rates required for that year and valuations received by Council at that time.</w:t>
      </w:r>
    </w:p>
    <w:p w14:paraId="200DA8F7" w14:textId="77777777" w:rsidR="00032509" w:rsidRDefault="00032509" w:rsidP="003868AF">
      <w:pPr>
        <w:spacing w:after="0"/>
      </w:pPr>
    </w:p>
    <w:p w14:paraId="75B01EAE" w14:textId="2D98D549" w:rsidR="00032509" w:rsidRDefault="00032509" w:rsidP="003868AF">
      <w:pPr>
        <w:spacing w:after="0"/>
      </w:pPr>
      <w:r>
        <w:t>The Employment Bulk Handling Zone RID has been set to achieve the same total rates from those properties compared to the current year</w:t>
      </w:r>
      <w:r w:rsidR="00F906A0">
        <w:t>'</w:t>
      </w:r>
      <w:r>
        <w:t>s rates.</w:t>
      </w:r>
    </w:p>
    <w:p w14:paraId="698667ED" w14:textId="77777777" w:rsidR="000325FA" w:rsidRDefault="000325FA" w:rsidP="003868A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2126"/>
        <w:gridCol w:w="1508"/>
      </w:tblGrid>
      <w:tr w:rsidR="00416B99" w14:paraId="69EDEA77" w14:textId="2E541E5E" w:rsidTr="00F90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749D5B9" w14:textId="46E92778" w:rsidR="00416B99" w:rsidRDefault="00416B99" w:rsidP="003868AF">
            <w:r>
              <w:t>Rating Category</w:t>
            </w:r>
          </w:p>
        </w:tc>
        <w:tc>
          <w:tcPr>
            <w:tcW w:w="1701" w:type="dxa"/>
          </w:tcPr>
          <w:p w14:paraId="3698D5C7" w14:textId="5D118432" w:rsidR="00416B99" w:rsidRDefault="00416B99" w:rsidP="00032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RID compared to Residential</w:t>
            </w:r>
          </w:p>
        </w:tc>
        <w:tc>
          <w:tcPr>
            <w:tcW w:w="2126" w:type="dxa"/>
          </w:tcPr>
          <w:p w14:paraId="204DF648" w14:textId="0CAC86DB" w:rsidR="00416B99" w:rsidRDefault="00E271DB" w:rsidP="00032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Used for Calculation of Rates</w:t>
            </w:r>
          </w:p>
        </w:tc>
        <w:tc>
          <w:tcPr>
            <w:tcW w:w="1508" w:type="dxa"/>
          </w:tcPr>
          <w:p w14:paraId="6C1DC580" w14:textId="42A2CDA5" w:rsidR="00416B99" w:rsidRDefault="00E271DB" w:rsidP="00032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Rate in Dollar (RID)</w:t>
            </w:r>
          </w:p>
        </w:tc>
      </w:tr>
      <w:tr w:rsidR="00416B99" w:rsidRPr="007708C4" w14:paraId="64895F2A" w14:textId="4D2EB909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6748CDEA" w14:textId="1849CB6C" w:rsidR="00416B99" w:rsidRPr="007708C4" w:rsidRDefault="00416B99" w:rsidP="003868AF">
            <w:pPr>
              <w:rPr>
                <w:b w:val="0"/>
                <w:bCs w:val="0"/>
                <w:sz w:val="20"/>
                <w:szCs w:val="20"/>
              </w:rPr>
            </w:pPr>
            <w:r w:rsidRPr="007708C4">
              <w:rPr>
                <w:b w:val="0"/>
                <w:bCs w:val="0"/>
                <w:sz w:val="20"/>
                <w:szCs w:val="20"/>
              </w:rPr>
              <w:t>Residential</w:t>
            </w:r>
          </w:p>
        </w:tc>
        <w:tc>
          <w:tcPr>
            <w:tcW w:w="1701" w:type="dxa"/>
            <w:shd w:val="clear" w:color="auto" w:fill="auto"/>
          </w:tcPr>
          <w:p w14:paraId="6F107F6B" w14:textId="73CDDF4B" w:rsidR="00416B99" w:rsidRPr="007708C4" w:rsidRDefault="009605A3" w:rsidP="00032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66F51DE9" w14:textId="22917399" w:rsidR="00416B99" w:rsidRPr="00177011" w:rsidRDefault="00032509" w:rsidP="00032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.001695006</w:t>
            </w:r>
          </w:p>
        </w:tc>
        <w:tc>
          <w:tcPr>
            <w:tcW w:w="1508" w:type="dxa"/>
            <w:shd w:val="clear" w:color="auto" w:fill="auto"/>
          </w:tcPr>
          <w:p w14:paraId="147D59BA" w14:textId="011B2EAD" w:rsidR="00416B99" w:rsidRPr="00177011" w:rsidRDefault="00032509" w:rsidP="00032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.1695006</w:t>
            </w:r>
          </w:p>
        </w:tc>
      </w:tr>
      <w:tr w:rsidR="00032509" w:rsidRPr="007708C4" w14:paraId="1C600005" w14:textId="27E7E4AD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0514C134" w14:textId="60D42D33" w:rsidR="00032509" w:rsidRPr="007708C4" w:rsidRDefault="00032509" w:rsidP="00032509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 w:rsidRPr="007708C4">
              <w:rPr>
                <w:b w:val="0"/>
                <w:bCs w:val="0"/>
                <w:sz w:val="20"/>
                <w:szCs w:val="20"/>
              </w:rPr>
              <w:t>Commercial</w:t>
            </w:r>
            <w:r w:rsidR="00177011">
              <w:rPr>
                <w:b w:val="0"/>
                <w:bCs w:val="0"/>
                <w:sz w:val="20"/>
                <w:szCs w:val="20"/>
              </w:rPr>
              <w:t xml:space="preserve"> Shop</w:t>
            </w:r>
          </w:p>
        </w:tc>
        <w:tc>
          <w:tcPr>
            <w:tcW w:w="1701" w:type="dxa"/>
            <w:shd w:val="clear" w:color="auto" w:fill="auto"/>
          </w:tcPr>
          <w:p w14:paraId="08448D6F" w14:textId="6E6A5A95" w:rsidR="00032509" w:rsidRPr="00032509" w:rsidRDefault="00032509" w:rsidP="000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2509"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48F28EE0" w14:textId="7A678D81" w:rsidR="00032509" w:rsidRPr="00177011" w:rsidRDefault="00032509" w:rsidP="000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.001695006</w:t>
            </w:r>
          </w:p>
        </w:tc>
        <w:tc>
          <w:tcPr>
            <w:tcW w:w="1508" w:type="dxa"/>
            <w:shd w:val="clear" w:color="auto" w:fill="auto"/>
          </w:tcPr>
          <w:p w14:paraId="063C8BDB" w14:textId="3F155562" w:rsidR="00032509" w:rsidRPr="00177011" w:rsidRDefault="00032509" w:rsidP="000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.1695006</w:t>
            </w:r>
          </w:p>
        </w:tc>
      </w:tr>
      <w:tr w:rsidR="00177011" w:rsidRPr="007708C4" w14:paraId="5314D6C1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32B52960" w14:textId="78F201BD" w:rsidR="00177011" w:rsidRPr="00177011" w:rsidRDefault="00177011" w:rsidP="00177011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Commercial Office</w:t>
            </w:r>
          </w:p>
        </w:tc>
        <w:tc>
          <w:tcPr>
            <w:tcW w:w="1701" w:type="dxa"/>
            <w:shd w:val="clear" w:color="auto" w:fill="auto"/>
          </w:tcPr>
          <w:p w14:paraId="6B0119D8" w14:textId="64FEDB1D" w:rsidR="00177011" w:rsidRPr="00032509" w:rsidRDefault="00177011" w:rsidP="0017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244968BC" w14:textId="4179DEB7" w:rsidR="00177011" w:rsidRPr="00177011" w:rsidRDefault="00177011" w:rsidP="0017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.001695006</w:t>
            </w:r>
          </w:p>
        </w:tc>
        <w:tc>
          <w:tcPr>
            <w:tcW w:w="1508" w:type="dxa"/>
            <w:shd w:val="clear" w:color="auto" w:fill="auto"/>
          </w:tcPr>
          <w:p w14:paraId="2F43B21D" w14:textId="7B61F0F6" w:rsidR="00177011" w:rsidRPr="00177011" w:rsidRDefault="00177011" w:rsidP="0017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.1695006</w:t>
            </w:r>
          </w:p>
        </w:tc>
      </w:tr>
      <w:tr w:rsidR="00177011" w:rsidRPr="007708C4" w14:paraId="01704379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6BE6FDCD" w14:textId="19AF50E4" w:rsidR="00177011" w:rsidRPr="00177011" w:rsidRDefault="00177011" w:rsidP="00177011">
            <w:p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Commercial Other</w:t>
            </w:r>
          </w:p>
        </w:tc>
        <w:tc>
          <w:tcPr>
            <w:tcW w:w="1701" w:type="dxa"/>
            <w:shd w:val="clear" w:color="auto" w:fill="auto"/>
          </w:tcPr>
          <w:p w14:paraId="17A3856E" w14:textId="131D6890" w:rsidR="00177011" w:rsidRPr="00032509" w:rsidRDefault="00177011" w:rsidP="0017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77428C6C" w14:textId="77660F71" w:rsidR="00177011" w:rsidRPr="00177011" w:rsidRDefault="00177011" w:rsidP="0017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.001695006</w:t>
            </w:r>
          </w:p>
        </w:tc>
        <w:tc>
          <w:tcPr>
            <w:tcW w:w="1508" w:type="dxa"/>
            <w:shd w:val="clear" w:color="auto" w:fill="auto"/>
          </w:tcPr>
          <w:p w14:paraId="4F1205AB" w14:textId="216B487B" w:rsidR="00177011" w:rsidRPr="00177011" w:rsidRDefault="00177011" w:rsidP="0017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.1695006</w:t>
            </w:r>
          </w:p>
        </w:tc>
      </w:tr>
      <w:tr w:rsidR="00032509" w:rsidRPr="007708C4" w14:paraId="6B84F7B2" w14:textId="5BCDFD3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29ED6EB9" w14:textId="5FCEAC56" w:rsidR="00032509" w:rsidRPr="00177011" w:rsidRDefault="00032509" w:rsidP="00032509">
            <w:pPr>
              <w:rPr>
                <w:b w:val="0"/>
                <w:bCs w:val="0"/>
                <w:sz w:val="20"/>
                <w:szCs w:val="20"/>
              </w:rPr>
            </w:pPr>
            <w:r w:rsidRPr="00177011">
              <w:rPr>
                <w:b w:val="0"/>
                <w:bCs w:val="0"/>
                <w:sz w:val="20"/>
                <w:szCs w:val="20"/>
              </w:rPr>
              <w:t xml:space="preserve">Industrial </w:t>
            </w:r>
            <w:r w:rsidR="00177011">
              <w:rPr>
                <w:b w:val="0"/>
                <w:bCs w:val="0"/>
                <w:sz w:val="20"/>
                <w:szCs w:val="20"/>
              </w:rPr>
              <w:t>Light</w:t>
            </w:r>
          </w:p>
        </w:tc>
        <w:tc>
          <w:tcPr>
            <w:tcW w:w="1701" w:type="dxa"/>
            <w:shd w:val="clear" w:color="auto" w:fill="auto"/>
          </w:tcPr>
          <w:p w14:paraId="14BD7DCF" w14:textId="0121EDFC" w:rsidR="00032509" w:rsidRPr="00032509" w:rsidRDefault="00032509" w:rsidP="000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2509"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4490366E" w14:textId="71AC8479" w:rsidR="00032509" w:rsidRPr="00177011" w:rsidRDefault="00032509" w:rsidP="000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.001695006</w:t>
            </w:r>
          </w:p>
        </w:tc>
        <w:tc>
          <w:tcPr>
            <w:tcW w:w="1508" w:type="dxa"/>
            <w:shd w:val="clear" w:color="auto" w:fill="auto"/>
          </w:tcPr>
          <w:p w14:paraId="08780AB7" w14:textId="307971A3" w:rsidR="00032509" w:rsidRPr="00177011" w:rsidRDefault="00032509" w:rsidP="000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.1695006</w:t>
            </w:r>
          </w:p>
        </w:tc>
      </w:tr>
      <w:tr w:rsidR="00177011" w:rsidRPr="007708C4" w14:paraId="703105BA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34D02054" w14:textId="2910D7D1" w:rsidR="00177011" w:rsidRPr="00177011" w:rsidRDefault="00177011" w:rsidP="0017701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Industrial Other</w:t>
            </w:r>
          </w:p>
        </w:tc>
        <w:tc>
          <w:tcPr>
            <w:tcW w:w="1701" w:type="dxa"/>
            <w:shd w:val="clear" w:color="auto" w:fill="auto"/>
          </w:tcPr>
          <w:p w14:paraId="2F74FEBF" w14:textId="6CCAEDF9" w:rsidR="00177011" w:rsidRPr="00032509" w:rsidRDefault="00177011" w:rsidP="0017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365DC31F" w14:textId="42632FE4" w:rsidR="00177011" w:rsidRPr="00177011" w:rsidRDefault="00177011" w:rsidP="0017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.001695006</w:t>
            </w:r>
          </w:p>
        </w:tc>
        <w:tc>
          <w:tcPr>
            <w:tcW w:w="1508" w:type="dxa"/>
            <w:shd w:val="clear" w:color="auto" w:fill="auto"/>
          </w:tcPr>
          <w:p w14:paraId="46135F04" w14:textId="723102C2" w:rsidR="00177011" w:rsidRPr="00177011" w:rsidRDefault="00177011" w:rsidP="00177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.1695006</w:t>
            </w:r>
          </w:p>
        </w:tc>
      </w:tr>
      <w:tr w:rsidR="007572CD" w:rsidRPr="007572CD" w14:paraId="05D2BB13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72C69097" w14:textId="77ABECD0" w:rsidR="007572CD" w:rsidRPr="007572CD" w:rsidRDefault="007572CD" w:rsidP="007572CD">
            <w:pPr>
              <w:rPr>
                <w:b w:val="0"/>
                <w:bCs w:val="0"/>
                <w:sz w:val="20"/>
                <w:szCs w:val="20"/>
              </w:rPr>
            </w:pPr>
            <w:r w:rsidRPr="007572CD">
              <w:rPr>
                <w:b w:val="0"/>
                <w:bCs w:val="0"/>
                <w:sz w:val="20"/>
                <w:szCs w:val="20"/>
              </w:rPr>
              <w:t>Primary Production</w:t>
            </w:r>
          </w:p>
        </w:tc>
        <w:tc>
          <w:tcPr>
            <w:tcW w:w="1701" w:type="dxa"/>
            <w:shd w:val="clear" w:color="auto" w:fill="auto"/>
          </w:tcPr>
          <w:p w14:paraId="46A5F661" w14:textId="1B038359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67E9B516" w14:textId="70D2B423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.001695006</w:t>
            </w:r>
          </w:p>
        </w:tc>
        <w:tc>
          <w:tcPr>
            <w:tcW w:w="1508" w:type="dxa"/>
            <w:shd w:val="clear" w:color="auto" w:fill="auto"/>
          </w:tcPr>
          <w:p w14:paraId="0BD502A2" w14:textId="5E559581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.1695006</w:t>
            </w:r>
          </w:p>
        </w:tc>
      </w:tr>
      <w:tr w:rsidR="007572CD" w:rsidRPr="007572CD" w14:paraId="47FC77A9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429680CE" w14:textId="436A6701" w:rsidR="007572CD" w:rsidRPr="007572CD" w:rsidRDefault="007572CD" w:rsidP="007572CD">
            <w:pPr>
              <w:rPr>
                <w:b w:val="0"/>
                <w:bCs w:val="0"/>
                <w:sz w:val="20"/>
                <w:szCs w:val="20"/>
              </w:rPr>
            </w:pPr>
            <w:r w:rsidRPr="007572CD">
              <w:rPr>
                <w:b w:val="0"/>
                <w:bCs w:val="0"/>
                <w:sz w:val="20"/>
                <w:szCs w:val="20"/>
              </w:rPr>
              <w:t>Vacant Land</w:t>
            </w:r>
          </w:p>
        </w:tc>
        <w:tc>
          <w:tcPr>
            <w:tcW w:w="1701" w:type="dxa"/>
            <w:shd w:val="clear" w:color="auto" w:fill="auto"/>
          </w:tcPr>
          <w:p w14:paraId="22D8300F" w14:textId="14555A32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5AB88564" w14:textId="2971EBF5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.001695006</w:t>
            </w:r>
          </w:p>
        </w:tc>
        <w:tc>
          <w:tcPr>
            <w:tcW w:w="1508" w:type="dxa"/>
            <w:shd w:val="clear" w:color="auto" w:fill="auto"/>
          </w:tcPr>
          <w:p w14:paraId="73E23447" w14:textId="1275EDE6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.1695006</w:t>
            </w:r>
          </w:p>
        </w:tc>
      </w:tr>
      <w:tr w:rsidR="00032509" w:rsidRPr="007708C4" w14:paraId="334F6708" w14:textId="003FB8E5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671F4A6B" w14:textId="461FBD55" w:rsidR="00032509" w:rsidRPr="007708C4" w:rsidRDefault="00032509" w:rsidP="0003250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14:paraId="3676D44C" w14:textId="0DB386BC" w:rsidR="00032509" w:rsidRPr="00032509" w:rsidRDefault="00032509" w:rsidP="000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2509"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07BB30E5" w14:textId="0263047B" w:rsidR="00032509" w:rsidRPr="00177011" w:rsidRDefault="00032509" w:rsidP="000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.001695006</w:t>
            </w:r>
          </w:p>
        </w:tc>
        <w:tc>
          <w:tcPr>
            <w:tcW w:w="1508" w:type="dxa"/>
            <w:shd w:val="clear" w:color="auto" w:fill="auto"/>
          </w:tcPr>
          <w:p w14:paraId="27A4D553" w14:textId="3E09364F" w:rsidR="00032509" w:rsidRPr="00177011" w:rsidRDefault="00032509" w:rsidP="0003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.1695006</w:t>
            </w:r>
          </w:p>
        </w:tc>
      </w:tr>
      <w:tr w:rsidR="00032509" w:rsidRPr="007708C4" w14:paraId="013D41F4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4EACE371" w14:textId="0F12FE74" w:rsidR="00032509" w:rsidRPr="00032509" w:rsidRDefault="00032509" w:rsidP="0003250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Marina Berths</w:t>
            </w:r>
          </w:p>
        </w:tc>
        <w:tc>
          <w:tcPr>
            <w:tcW w:w="1701" w:type="dxa"/>
            <w:shd w:val="clear" w:color="auto" w:fill="auto"/>
          </w:tcPr>
          <w:p w14:paraId="599E4270" w14:textId="48E81EC3" w:rsidR="00032509" w:rsidRPr="00032509" w:rsidRDefault="00032509" w:rsidP="000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2509"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14:paraId="27679B1B" w14:textId="5F244371" w:rsidR="00032509" w:rsidRPr="00177011" w:rsidRDefault="00032509" w:rsidP="000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.001695006</w:t>
            </w:r>
          </w:p>
        </w:tc>
        <w:tc>
          <w:tcPr>
            <w:tcW w:w="1508" w:type="dxa"/>
            <w:shd w:val="clear" w:color="auto" w:fill="auto"/>
          </w:tcPr>
          <w:p w14:paraId="4CB61B2C" w14:textId="28386F61" w:rsidR="00032509" w:rsidRPr="00177011" w:rsidRDefault="00032509" w:rsidP="0003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.1695006</w:t>
            </w:r>
          </w:p>
        </w:tc>
      </w:tr>
      <w:tr w:rsidR="00032509" w:rsidRPr="007708C4" w14:paraId="0947BD6C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7B7DA534" w14:textId="0BE51D5A" w:rsidR="00032509" w:rsidRDefault="00032509" w:rsidP="00E271D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Employment Bulk Handling Zone (Silos)</w:t>
            </w:r>
          </w:p>
        </w:tc>
        <w:tc>
          <w:tcPr>
            <w:tcW w:w="1701" w:type="dxa"/>
            <w:shd w:val="clear" w:color="auto" w:fill="auto"/>
          </w:tcPr>
          <w:p w14:paraId="1E37AAF0" w14:textId="6D269F41" w:rsidR="00032509" w:rsidRPr="007708C4" w:rsidRDefault="00032509" w:rsidP="00E2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373%</w:t>
            </w:r>
          </w:p>
        </w:tc>
        <w:tc>
          <w:tcPr>
            <w:tcW w:w="2126" w:type="dxa"/>
            <w:shd w:val="clear" w:color="auto" w:fill="auto"/>
          </w:tcPr>
          <w:p w14:paraId="58A57428" w14:textId="68B9F724" w:rsidR="00032509" w:rsidRPr="00177011" w:rsidRDefault="00032509" w:rsidP="00E2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.006316998</w:t>
            </w:r>
          </w:p>
        </w:tc>
        <w:tc>
          <w:tcPr>
            <w:tcW w:w="1508" w:type="dxa"/>
            <w:shd w:val="clear" w:color="auto" w:fill="auto"/>
          </w:tcPr>
          <w:p w14:paraId="5E65FA7F" w14:textId="4BFBEA91" w:rsidR="00032509" w:rsidRPr="00177011" w:rsidRDefault="00032509" w:rsidP="00E2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1">
              <w:rPr>
                <w:sz w:val="20"/>
                <w:szCs w:val="20"/>
              </w:rPr>
              <w:t>.6316998</w:t>
            </w:r>
          </w:p>
        </w:tc>
      </w:tr>
    </w:tbl>
    <w:p w14:paraId="1A31BD95" w14:textId="77777777" w:rsidR="000325FA" w:rsidRDefault="000325FA" w:rsidP="003868AF">
      <w:pPr>
        <w:spacing w:after="0"/>
      </w:pPr>
    </w:p>
    <w:p w14:paraId="23F4EF76" w14:textId="7F3DC5CB" w:rsidR="00177011" w:rsidRDefault="00F906A0" w:rsidP="003868AF">
      <w:pPr>
        <w:spacing w:after="0"/>
      </w:pPr>
      <w:r>
        <w:t>The table below shows the difference in rates using Capital Value instead of Site Value for each rating category</w:t>
      </w:r>
      <w:r w:rsidR="00177011">
        <w:t xml:space="preserve"> compared to the current rates.  Employment Bulk Handling is not shown</w:t>
      </w:r>
      <w:r>
        <w:t>,</w:t>
      </w:r>
      <w:r w:rsidR="00177011">
        <w:t xml:space="preserve"> as the total rates from these properties are the same as their current rates.</w:t>
      </w:r>
    </w:p>
    <w:p w14:paraId="050CA69F" w14:textId="77777777" w:rsidR="00E271DB" w:rsidRDefault="00E271DB" w:rsidP="003868A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69"/>
        <w:gridCol w:w="2118"/>
        <w:gridCol w:w="2116"/>
        <w:gridCol w:w="1972"/>
        <w:gridCol w:w="941"/>
      </w:tblGrid>
      <w:tr w:rsidR="007572CD" w:rsidRPr="008A43D7" w14:paraId="6F258248" w14:textId="77777777" w:rsidTr="00F90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E25699E" w14:textId="68794B8F" w:rsidR="007572CD" w:rsidRPr="008A43D7" w:rsidRDefault="007572CD" w:rsidP="003868AF">
            <w:pPr>
              <w:rPr>
                <w:sz w:val="20"/>
                <w:szCs w:val="20"/>
              </w:rPr>
            </w:pPr>
            <w:bookmarkStart w:id="57" w:name="_Hlk131964490"/>
            <w:r>
              <w:rPr>
                <w:sz w:val="20"/>
                <w:szCs w:val="20"/>
              </w:rPr>
              <w:t>Rating Category</w:t>
            </w:r>
          </w:p>
        </w:tc>
        <w:tc>
          <w:tcPr>
            <w:tcW w:w="2118" w:type="dxa"/>
          </w:tcPr>
          <w:p w14:paraId="4C518367" w14:textId="4944A7EF" w:rsidR="007572CD" w:rsidRPr="008A43D7" w:rsidRDefault="007572CD" w:rsidP="008A4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property has the greatest decrease of $</w:t>
            </w:r>
          </w:p>
        </w:tc>
        <w:tc>
          <w:tcPr>
            <w:tcW w:w="2116" w:type="dxa"/>
          </w:tcPr>
          <w:p w14:paraId="6E2AD850" w14:textId="5BB27596" w:rsidR="007572CD" w:rsidRPr="008A43D7" w:rsidRDefault="007572CD" w:rsidP="008A4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property has the highest increase of $</w:t>
            </w:r>
          </w:p>
        </w:tc>
        <w:tc>
          <w:tcPr>
            <w:tcW w:w="1972" w:type="dxa"/>
          </w:tcPr>
          <w:p w14:paraId="2A6FA8E8" w14:textId="7FD9F7B3" w:rsidR="007572CD" w:rsidRDefault="007572CD" w:rsidP="008A4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of property with the highest increase </w:t>
            </w:r>
            <w:r w:rsidR="00F906A0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$</w:t>
            </w:r>
          </w:p>
        </w:tc>
        <w:tc>
          <w:tcPr>
            <w:tcW w:w="941" w:type="dxa"/>
          </w:tcPr>
          <w:p w14:paraId="7CB9635B" w14:textId="3A109D4F" w:rsidR="007572CD" w:rsidRPr="008A43D7" w:rsidRDefault="007572CD" w:rsidP="008A4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Change $</w:t>
            </w:r>
          </w:p>
        </w:tc>
      </w:tr>
      <w:tr w:rsidR="007572CD" w:rsidRPr="007572CD" w14:paraId="471E3E5C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auto"/>
          </w:tcPr>
          <w:p w14:paraId="0D03F779" w14:textId="21923249" w:rsidR="007572CD" w:rsidRPr="007572CD" w:rsidRDefault="007572CD" w:rsidP="007572CD">
            <w:pPr>
              <w:rPr>
                <w:b w:val="0"/>
                <w:bCs w:val="0"/>
                <w:sz w:val="20"/>
                <w:szCs w:val="20"/>
              </w:rPr>
            </w:pPr>
            <w:r w:rsidRPr="007572CD">
              <w:rPr>
                <w:b w:val="0"/>
                <w:bCs w:val="0"/>
                <w:sz w:val="20"/>
                <w:szCs w:val="20"/>
              </w:rPr>
              <w:t>Residential</w:t>
            </w:r>
          </w:p>
        </w:tc>
        <w:tc>
          <w:tcPr>
            <w:tcW w:w="2118" w:type="dxa"/>
            <w:shd w:val="clear" w:color="auto" w:fill="auto"/>
          </w:tcPr>
          <w:p w14:paraId="6C39A569" w14:textId="64A23418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-3,529</w:t>
            </w:r>
          </w:p>
        </w:tc>
        <w:tc>
          <w:tcPr>
            <w:tcW w:w="2116" w:type="dxa"/>
            <w:shd w:val="clear" w:color="auto" w:fill="auto"/>
          </w:tcPr>
          <w:p w14:paraId="7A8B9FC8" w14:textId="0878EC5D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1,000</w:t>
            </w:r>
          </w:p>
        </w:tc>
        <w:tc>
          <w:tcPr>
            <w:tcW w:w="1972" w:type="dxa"/>
            <w:shd w:val="clear" w:color="auto" w:fill="auto"/>
          </w:tcPr>
          <w:p w14:paraId="226E4880" w14:textId="1A21A34F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1,000,000</w:t>
            </w:r>
          </w:p>
        </w:tc>
        <w:tc>
          <w:tcPr>
            <w:tcW w:w="941" w:type="dxa"/>
            <w:shd w:val="clear" w:color="auto" w:fill="auto"/>
          </w:tcPr>
          <w:p w14:paraId="597DB88F" w14:textId="22981CD9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-173</w:t>
            </w:r>
          </w:p>
        </w:tc>
      </w:tr>
      <w:tr w:rsidR="007572CD" w:rsidRPr="007572CD" w14:paraId="7C764A71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auto"/>
          </w:tcPr>
          <w:p w14:paraId="2F4EF8FD" w14:textId="009FCCF3" w:rsidR="007572CD" w:rsidRPr="007572CD" w:rsidRDefault="007572CD" w:rsidP="007572CD">
            <w:pPr>
              <w:rPr>
                <w:b w:val="0"/>
                <w:bCs w:val="0"/>
                <w:sz w:val="20"/>
                <w:szCs w:val="20"/>
              </w:rPr>
            </w:pPr>
            <w:r w:rsidRPr="007572CD">
              <w:rPr>
                <w:b w:val="0"/>
                <w:bCs w:val="0"/>
                <w:sz w:val="20"/>
                <w:szCs w:val="20"/>
              </w:rPr>
              <w:t>Commercial Shop</w:t>
            </w:r>
          </w:p>
        </w:tc>
        <w:tc>
          <w:tcPr>
            <w:tcW w:w="2118" w:type="dxa"/>
            <w:shd w:val="clear" w:color="auto" w:fill="auto"/>
          </w:tcPr>
          <w:p w14:paraId="03B2D16A" w14:textId="3DB56FE2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-504</w:t>
            </w:r>
          </w:p>
        </w:tc>
        <w:tc>
          <w:tcPr>
            <w:tcW w:w="2116" w:type="dxa"/>
            <w:shd w:val="clear" w:color="auto" w:fill="auto"/>
          </w:tcPr>
          <w:p w14:paraId="7E187844" w14:textId="221072BF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175</w:t>
            </w:r>
          </w:p>
        </w:tc>
        <w:tc>
          <w:tcPr>
            <w:tcW w:w="1972" w:type="dxa"/>
            <w:shd w:val="clear" w:color="auto" w:fill="auto"/>
          </w:tcPr>
          <w:p w14:paraId="5FF68A71" w14:textId="7D14E961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630,000</w:t>
            </w:r>
          </w:p>
        </w:tc>
        <w:tc>
          <w:tcPr>
            <w:tcW w:w="941" w:type="dxa"/>
            <w:shd w:val="clear" w:color="auto" w:fill="auto"/>
          </w:tcPr>
          <w:p w14:paraId="0BCAC1B7" w14:textId="4097758B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-141</w:t>
            </w:r>
          </w:p>
        </w:tc>
      </w:tr>
      <w:tr w:rsidR="007572CD" w:rsidRPr="007572CD" w14:paraId="70AE1B14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auto"/>
          </w:tcPr>
          <w:p w14:paraId="2FCE7AE7" w14:textId="0D86431F" w:rsidR="007572CD" w:rsidRPr="007572CD" w:rsidRDefault="007572CD" w:rsidP="007572CD">
            <w:pPr>
              <w:rPr>
                <w:b w:val="0"/>
                <w:bCs w:val="0"/>
                <w:sz w:val="20"/>
                <w:szCs w:val="20"/>
              </w:rPr>
            </w:pPr>
            <w:r w:rsidRPr="007572CD">
              <w:rPr>
                <w:b w:val="0"/>
                <w:bCs w:val="0"/>
                <w:sz w:val="20"/>
                <w:szCs w:val="20"/>
              </w:rPr>
              <w:t>Commercial Office</w:t>
            </w:r>
          </w:p>
        </w:tc>
        <w:tc>
          <w:tcPr>
            <w:tcW w:w="2118" w:type="dxa"/>
            <w:shd w:val="clear" w:color="auto" w:fill="auto"/>
          </w:tcPr>
          <w:p w14:paraId="1F4DABB7" w14:textId="749211E8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-369</w:t>
            </w:r>
          </w:p>
        </w:tc>
        <w:tc>
          <w:tcPr>
            <w:tcW w:w="2116" w:type="dxa"/>
            <w:shd w:val="clear" w:color="auto" w:fill="auto"/>
          </w:tcPr>
          <w:p w14:paraId="01C13D03" w14:textId="6C0EBD62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-130</w:t>
            </w:r>
          </w:p>
        </w:tc>
        <w:tc>
          <w:tcPr>
            <w:tcW w:w="1972" w:type="dxa"/>
            <w:shd w:val="clear" w:color="auto" w:fill="auto"/>
          </w:tcPr>
          <w:p w14:paraId="3832844E" w14:textId="4A30E738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decrease</w:t>
            </w:r>
          </w:p>
        </w:tc>
        <w:tc>
          <w:tcPr>
            <w:tcW w:w="941" w:type="dxa"/>
            <w:shd w:val="clear" w:color="auto" w:fill="auto"/>
          </w:tcPr>
          <w:p w14:paraId="6D4E5209" w14:textId="0D851EA1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-249</w:t>
            </w:r>
          </w:p>
        </w:tc>
      </w:tr>
      <w:tr w:rsidR="007572CD" w:rsidRPr="007572CD" w14:paraId="0D779494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auto"/>
          </w:tcPr>
          <w:p w14:paraId="5EEACD10" w14:textId="72C9C29E" w:rsidR="007572CD" w:rsidRPr="007572CD" w:rsidRDefault="007572CD" w:rsidP="007572CD">
            <w:pPr>
              <w:rPr>
                <w:b w:val="0"/>
                <w:bCs w:val="0"/>
                <w:sz w:val="20"/>
                <w:szCs w:val="20"/>
              </w:rPr>
            </w:pPr>
            <w:r w:rsidRPr="007572CD">
              <w:rPr>
                <w:b w:val="0"/>
                <w:bCs w:val="0"/>
                <w:sz w:val="20"/>
                <w:szCs w:val="20"/>
              </w:rPr>
              <w:t>Commercial Other</w:t>
            </w:r>
          </w:p>
        </w:tc>
        <w:tc>
          <w:tcPr>
            <w:tcW w:w="2118" w:type="dxa"/>
            <w:shd w:val="clear" w:color="auto" w:fill="auto"/>
          </w:tcPr>
          <w:p w14:paraId="70C9C696" w14:textId="22C5E533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-2,015</w:t>
            </w:r>
          </w:p>
        </w:tc>
        <w:tc>
          <w:tcPr>
            <w:tcW w:w="2116" w:type="dxa"/>
            <w:shd w:val="clear" w:color="auto" w:fill="auto"/>
          </w:tcPr>
          <w:p w14:paraId="07D4584A" w14:textId="0C845B0E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1,030</w:t>
            </w:r>
          </w:p>
        </w:tc>
        <w:tc>
          <w:tcPr>
            <w:tcW w:w="1972" w:type="dxa"/>
            <w:shd w:val="clear" w:color="auto" w:fill="auto"/>
          </w:tcPr>
          <w:p w14:paraId="7C91ED4B" w14:textId="43D3BFA6" w:rsidR="007572CD" w:rsidRPr="007572CD" w:rsidRDefault="009A1958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990,000</w:t>
            </w:r>
          </w:p>
        </w:tc>
        <w:tc>
          <w:tcPr>
            <w:tcW w:w="941" w:type="dxa"/>
            <w:shd w:val="clear" w:color="auto" w:fill="auto"/>
          </w:tcPr>
          <w:p w14:paraId="784BC2A8" w14:textId="46F4C4C1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-158</w:t>
            </w:r>
          </w:p>
        </w:tc>
      </w:tr>
      <w:tr w:rsidR="007572CD" w:rsidRPr="007572CD" w14:paraId="7F192D25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auto"/>
          </w:tcPr>
          <w:p w14:paraId="6D1C25F9" w14:textId="413C223E" w:rsidR="007572CD" w:rsidRPr="007572CD" w:rsidRDefault="007572CD" w:rsidP="007572CD">
            <w:pPr>
              <w:rPr>
                <w:b w:val="0"/>
                <w:bCs w:val="0"/>
                <w:sz w:val="20"/>
                <w:szCs w:val="20"/>
              </w:rPr>
            </w:pPr>
            <w:r w:rsidRPr="007572CD">
              <w:rPr>
                <w:b w:val="0"/>
                <w:bCs w:val="0"/>
                <w:sz w:val="20"/>
                <w:szCs w:val="20"/>
              </w:rPr>
              <w:t>Industrial Light</w:t>
            </w:r>
          </w:p>
        </w:tc>
        <w:tc>
          <w:tcPr>
            <w:tcW w:w="2118" w:type="dxa"/>
            <w:shd w:val="clear" w:color="auto" w:fill="auto"/>
          </w:tcPr>
          <w:p w14:paraId="6BE9BE83" w14:textId="1CF68901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-486</w:t>
            </w:r>
          </w:p>
        </w:tc>
        <w:tc>
          <w:tcPr>
            <w:tcW w:w="2116" w:type="dxa"/>
            <w:shd w:val="clear" w:color="auto" w:fill="auto"/>
          </w:tcPr>
          <w:p w14:paraId="013E8794" w14:textId="4CA5E4B4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25</w:t>
            </w:r>
          </w:p>
        </w:tc>
        <w:tc>
          <w:tcPr>
            <w:tcW w:w="1972" w:type="dxa"/>
            <w:shd w:val="clear" w:color="auto" w:fill="auto"/>
          </w:tcPr>
          <w:p w14:paraId="6B63760E" w14:textId="0F5B14FA" w:rsidR="007572CD" w:rsidRPr="007572CD" w:rsidRDefault="009A1958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425,000</w:t>
            </w:r>
          </w:p>
        </w:tc>
        <w:tc>
          <w:tcPr>
            <w:tcW w:w="941" w:type="dxa"/>
            <w:shd w:val="clear" w:color="auto" w:fill="auto"/>
          </w:tcPr>
          <w:p w14:paraId="56E3E01A" w14:textId="372CF7C8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-186</w:t>
            </w:r>
          </w:p>
        </w:tc>
      </w:tr>
      <w:tr w:rsidR="007572CD" w:rsidRPr="007572CD" w14:paraId="4644199E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auto"/>
          </w:tcPr>
          <w:p w14:paraId="7D9BFB62" w14:textId="3AFA89E7" w:rsidR="007572CD" w:rsidRPr="007572CD" w:rsidRDefault="007572CD" w:rsidP="007572CD">
            <w:pPr>
              <w:rPr>
                <w:b w:val="0"/>
                <w:bCs w:val="0"/>
                <w:sz w:val="20"/>
                <w:szCs w:val="20"/>
              </w:rPr>
            </w:pPr>
            <w:r w:rsidRPr="007572CD">
              <w:rPr>
                <w:b w:val="0"/>
                <w:bCs w:val="0"/>
                <w:sz w:val="20"/>
                <w:szCs w:val="20"/>
              </w:rPr>
              <w:t>Industrial Other</w:t>
            </w:r>
          </w:p>
        </w:tc>
        <w:tc>
          <w:tcPr>
            <w:tcW w:w="2118" w:type="dxa"/>
            <w:shd w:val="clear" w:color="auto" w:fill="auto"/>
          </w:tcPr>
          <w:p w14:paraId="6407D6B6" w14:textId="38F2BD09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-1,105</w:t>
            </w:r>
          </w:p>
        </w:tc>
        <w:tc>
          <w:tcPr>
            <w:tcW w:w="2116" w:type="dxa"/>
            <w:shd w:val="clear" w:color="auto" w:fill="auto"/>
          </w:tcPr>
          <w:p w14:paraId="1BC4E48D" w14:textId="1343A536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51</w:t>
            </w:r>
          </w:p>
        </w:tc>
        <w:tc>
          <w:tcPr>
            <w:tcW w:w="1972" w:type="dxa"/>
            <w:shd w:val="clear" w:color="auto" w:fill="auto"/>
          </w:tcPr>
          <w:p w14:paraId="72B12F65" w14:textId="4BEE6B11" w:rsidR="007572CD" w:rsidRPr="007572CD" w:rsidRDefault="009A1958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465,000</w:t>
            </w:r>
          </w:p>
        </w:tc>
        <w:tc>
          <w:tcPr>
            <w:tcW w:w="941" w:type="dxa"/>
            <w:shd w:val="clear" w:color="auto" w:fill="auto"/>
          </w:tcPr>
          <w:p w14:paraId="6B80C64B" w14:textId="532A7B10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-396</w:t>
            </w:r>
          </w:p>
        </w:tc>
      </w:tr>
      <w:tr w:rsidR="007572CD" w:rsidRPr="007572CD" w14:paraId="2B009A1E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auto"/>
          </w:tcPr>
          <w:p w14:paraId="3FE8D232" w14:textId="3889338B" w:rsidR="007572CD" w:rsidRPr="007572CD" w:rsidRDefault="007572CD" w:rsidP="007572CD">
            <w:pPr>
              <w:rPr>
                <w:b w:val="0"/>
                <w:bCs w:val="0"/>
                <w:sz w:val="20"/>
                <w:szCs w:val="20"/>
              </w:rPr>
            </w:pPr>
            <w:r w:rsidRPr="007572CD">
              <w:rPr>
                <w:b w:val="0"/>
                <w:bCs w:val="0"/>
                <w:sz w:val="20"/>
                <w:szCs w:val="20"/>
              </w:rPr>
              <w:t>Primary Production</w:t>
            </w:r>
          </w:p>
        </w:tc>
        <w:tc>
          <w:tcPr>
            <w:tcW w:w="2118" w:type="dxa"/>
            <w:shd w:val="clear" w:color="auto" w:fill="auto"/>
          </w:tcPr>
          <w:p w14:paraId="61D48EF8" w14:textId="534ADBA8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-1,623</w:t>
            </w:r>
          </w:p>
        </w:tc>
        <w:tc>
          <w:tcPr>
            <w:tcW w:w="2116" w:type="dxa"/>
            <w:shd w:val="clear" w:color="auto" w:fill="auto"/>
          </w:tcPr>
          <w:p w14:paraId="327DB2E3" w14:textId="2525B799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2,233</w:t>
            </w:r>
          </w:p>
        </w:tc>
        <w:tc>
          <w:tcPr>
            <w:tcW w:w="1972" w:type="dxa"/>
            <w:shd w:val="clear" w:color="auto" w:fill="auto"/>
          </w:tcPr>
          <w:p w14:paraId="0BD7AB76" w14:textId="3DF0C14A" w:rsidR="007572CD" w:rsidRPr="007572CD" w:rsidRDefault="009A1958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12,150,000</w:t>
            </w:r>
          </w:p>
        </w:tc>
        <w:tc>
          <w:tcPr>
            <w:tcW w:w="941" w:type="dxa"/>
            <w:shd w:val="clear" w:color="auto" w:fill="auto"/>
          </w:tcPr>
          <w:p w14:paraId="1B446C6F" w14:textId="1FBFF2A0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401</w:t>
            </w:r>
          </w:p>
        </w:tc>
      </w:tr>
      <w:tr w:rsidR="007572CD" w:rsidRPr="007572CD" w14:paraId="0B7E690E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auto"/>
          </w:tcPr>
          <w:p w14:paraId="27920C5D" w14:textId="028B200F" w:rsidR="007572CD" w:rsidRPr="007572CD" w:rsidRDefault="007572CD" w:rsidP="007572CD">
            <w:pPr>
              <w:rPr>
                <w:b w:val="0"/>
                <w:bCs w:val="0"/>
                <w:sz w:val="20"/>
                <w:szCs w:val="20"/>
              </w:rPr>
            </w:pPr>
            <w:r w:rsidRPr="007572CD">
              <w:rPr>
                <w:b w:val="0"/>
                <w:bCs w:val="0"/>
                <w:sz w:val="20"/>
                <w:szCs w:val="20"/>
              </w:rPr>
              <w:t>Vacant Land</w:t>
            </w:r>
          </w:p>
        </w:tc>
        <w:tc>
          <w:tcPr>
            <w:tcW w:w="2118" w:type="dxa"/>
            <w:shd w:val="clear" w:color="auto" w:fill="auto"/>
          </w:tcPr>
          <w:p w14:paraId="28F1088E" w14:textId="79D9B09E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-3,287</w:t>
            </w:r>
          </w:p>
        </w:tc>
        <w:tc>
          <w:tcPr>
            <w:tcW w:w="2116" w:type="dxa"/>
            <w:shd w:val="clear" w:color="auto" w:fill="auto"/>
          </w:tcPr>
          <w:p w14:paraId="41E1EEFA" w14:textId="33013E27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160</w:t>
            </w:r>
          </w:p>
        </w:tc>
        <w:tc>
          <w:tcPr>
            <w:tcW w:w="1972" w:type="dxa"/>
            <w:shd w:val="clear" w:color="auto" w:fill="auto"/>
          </w:tcPr>
          <w:p w14:paraId="12ED7703" w14:textId="7F468478" w:rsidR="007572CD" w:rsidRPr="007572CD" w:rsidRDefault="009A1958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148,000</w:t>
            </w:r>
          </w:p>
        </w:tc>
        <w:tc>
          <w:tcPr>
            <w:tcW w:w="941" w:type="dxa"/>
            <w:shd w:val="clear" w:color="auto" w:fill="auto"/>
          </w:tcPr>
          <w:p w14:paraId="1399B9ED" w14:textId="21CBA77D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-322</w:t>
            </w:r>
          </w:p>
        </w:tc>
      </w:tr>
      <w:tr w:rsidR="007572CD" w:rsidRPr="007572CD" w14:paraId="5AE663D7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auto"/>
          </w:tcPr>
          <w:p w14:paraId="5CAE6EBB" w14:textId="2E599AA5" w:rsidR="007572CD" w:rsidRPr="007572CD" w:rsidRDefault="007572CD" w:rsidP="007572CD">
            <w:pPr>
              <w:rPr>
                <w:b w:val="0"/>
                <w:bCs w:val="0"/>
                <w:sz w:val="20"/>
                <w:szCs w:val="20"/>
              </w:rPr>
            </w:pPr>
            <w:r w:rsidRPr="007572CD">
              <w:rPr>
                <w:b w:val="0"/>
                <w:bCs w:val="0"/>
                <w:sz w:val="20"/>
                <w:szCs w:val="20"/>
              </w:rPr>
              <w:t>Other</w:t>
            </w:r>
          </w:p>
        </w:tc>
        <w:tc>
          <w:tcPr>
            <w:tcW w:w="2118" w:type="dxa"/>
            <w:shd w:val="clear" w:color="auto" w:fill="auto"/>
          </w:tcPr>
          <w:p w14:paraId="2ADADFE4" w14:textId="2F598F84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0</w:t>
            </w:r>
          </w:p>
        </w:tc>
        <w:tc>
          <w:tcPr>
            <w:tcW w:w="2116" w:type="dxa"/>
            <w:shd w:val="clear" w:color="auto" w:fill="auto"/>
          </w:tcPr>
          <w:p w14:paraId="29CBED25" w14:textId="51BA2247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591</w:t>
            </w:r>
          </w:p>
        </w:tc>
        <w:tc>
          <w:tcPr>
            <w:tcW w:w="1972" w:type="dxa"/>
            <w:shd w:val="clear" w:color="auto" w:fill="auto"/>
          </w:tcPr>
          <w:p w14:paraId="5C9ADE27" w14:textId="7ACD5E6B" w:rsidR="007572CD" w:rsidRPr="007572CD" w:rsidRDefault="009A1958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570,000</w:t>
            </w:r>
          </w:p>
        </w:tc>
        <w:tc>
          <w:tcPr>
            <w:tcW w:w="941" w:type="dxa"/>
            <w:shd w:val="clear" w:color="auto" w:fill="auto"/>
          </w:tcPr>
          <w:p w14:paraId="0F556A94" w14:textId="1CE52534" w:rsidR="007572CD" w:rsidRPr="007572CD" w:rsidRDefault="007572CD" w:rsidP="00757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68</w:t>
            </w:r>
          </w:p>
        </w:tc>
      </w:tr>
      <w:tr w:rsidR="007572CD" w:rsidRPr="007572CD" w14:paraId="22A27E68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auto"/>
          </w:tcPr>
          <w:p w14:paraId="512548CA" w14:textId="3E8E7274" w:rsidR="007572CD" w:rsidRPr="007572CD" w:rsidRDefault="007572CD" w:rsidP="007572CD">
            <w:pPr>
              <w:rPr>
                <w:b w:val="0"/>
                <w:bCs w:val="0"/>
                <w:sz w:val="20"/>
                <w:szCs w:val="20"/>
              </w:rPr>
            </w:pPr>
            <w:r w:rsidRPr="007572CD">
              <w:rPr>
                <w:b w:val="0"/>
                <w:bCs w:val="0"/>
                <w:sz w:val="20"/>
                <w:szCs w:val="20"/>
              </w:rPr>
              <w:t>Marina Berths</w:t>
            </w:r>
          </w:p>
        </w:tc>
        <w:tc>
          <w:tcPr>
            <w:tcW w:w="2118" w:type="dxa"/>
            <w:shd w:val="clear" w:color="auto" w:fill="auto"/>
          </w:tcPr>
          <w:p w14:paraId="1E6649B2" w14:textId="19E38702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-59</w:t>
            </w:r>
          </w:p>
        </w:tc>
        <w:tc>
          <w:tcPr>
            <w:tcW w:w="2116" w:type="dxa"/>
            <w:shd w:val="clear" w:color="auto" w:fill="auto"/>
          </w:tcPr>
          <w:p w14:paraId="5526031C" w14:textId="6CC1DBE7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-55</w:t>
            </w:r>
          </w:p>
        </w:tc>
        <w:tc>
          <w:tcPr>
            <w:tcW w:w="1972" w:type="dxa"/>
            <w:shd w:val="clear" w:color="auto" w:fill="auto"/>
          </w:tcPr>
          <w:p w14:paraId="65630F27" w14:textId="7630F49D" w:rsidR="007572CD" w:rsidRPr="007572CD" w:rsidRDefault="009A1958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decrease</w:t>
            </w:r>
          </w:p>
        </w:tc>
        <w:tc>
          <w:tcPr>
            <w:tcW w:w="941" w:type="dxa"/>
            <w:shd w:val="clear" w:color="auto" w:fill="auto"/>
          </w:tcPr>
          <w:p w14:paraId="2E523405" w14:textId="1DD0F79C" w:rsidR="007572CD" w:rsidRPr="007572CD" w:rsidRDefault="007572CD" w:rsidP="00757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2CD">
              <w:rPr>
                <w:sz w:val="20"/>
                <w:szCs w:val="20"/>
              </w:rPr>
              <w:t>-55</w:t>
            </w:r>
          </w:p>
        </w:tc>
      </w:tr>
      <w:bookmarkEnd w:id="57"/>
    </w:tbl>
    <w:p w14:paraId="540FF278" w14:textId="77777777" w:rsidR="008A43D7" w:rsidRPr="007572CD" w:rsidRDefault="008A43D7" w:rsidP="003868AF">
      <w:pPr>
        <w:spacing w:after="0"/>
        <w:rPr>
          <w:sz w:val="20"/>
          <w:szCs w:val="20"/>
        </w:rPr>
      </w:pPr>
    </w:p>
    <w:p w14:paraId="70BC7816" w14:textId="1A750966" w:rsidR="00FA5DE3" w:rsidRDefault="00FA5DE3" w:rsidP="003868AF">
      <w:pPr>
        <w:spacing w:after="0"/>
      </w:pPr>
      <w:r>
        <w:t xml:space="preserve">The table below shows the number of properties that increase and decrease for each rating category. </w:t>
      </w:r>
    </w:p>
    <w:p w14:paraId="4199A7D8" w14:textId="77777777" w:rsidR="00FA5DE3" w:rsidRDefault="00FA5DE3" w:rsidP="003868AF">
      <w:pPr>
        <w:spacing w:after="0"/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540"/>
        <w:gridCol w:w="2979"/>
        <w:gridCol w:w="2497"/>
      </w:tblGrid>
      <w:tr w:rsidR="00FA5DE3" w:rsidRPr="008A43D7" w14:paraId="1D12DF07" w14:textId="77777777" w:rsidTr="00F90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</w:tcPr>
          <w:p w14:paraId="0B261EE6" w14:textId="77777777" w:rsidR="00FA5DE3" w:rsidRPr="008A43D7" w:rsidRDefault="00FA5DE3" w:rsidP="0007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 Category</w:t>
            </w:r>
          </w:p>
        </w:tc>
        <w:tc>
          <w:tcPr>
            <w:tcW w:w="1652" w:type="pct"/>
          </w:tcPr>
          <w:p w14:paraId="507C0C3D" w14:textId="5E68873D" w:rsidR="00FA5DE3" w:rsidRPr="008A43D7" w:rsidRDefault="00FA5DE3" w:rsidP="00075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Properties that Decrease</w:t>
            </w:r>
          </w:p>
        </w:tc>
        <w:tc>
          <w:tcPr>
            <w:tcW w:w="1385" w:type="pct"/>
          </w:tcPr>
          <w:p w14:paraId="41EE50D9" w14:textId="6C5AB0F2" w:rsidR="00FA5DE3" w:rsidRPr="008A43D7" w:rsidRDefault="00FA5DE3" w:rsidP="00075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Properties that Increase</w:t>
            </w:r>
          </w:p>
        </w:tc>
      </w:tr>
      <w:tr w:rsidR="009A1958" w:rsidRPr="000325FA" w14:paraId="066F1445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shd w:val="clear" w:color="auto" w:fill="auto"/>
          </w:tcPr>
          <w:p w14:paraId="7802D333" w14:textId="19BA6B90" w:rsidR="009A1958" w:rsidRPr="009A1958" w:rsidRDefault="009A1958" w:rsidP="009A1958">
            <w:pPr>
              <w:rPr>
                <w:b w:val="0"/>
                <w:bCs w:val="0"/>
                <w:sz w:val="20"/>
                <w:szCs w:val="20"/>
              </w:rPr>
            </w:pPr>
            <w:r w:rsidRPr="009A1958">
              <w:rPr>
                <w:b w:val="0"/>
                <w:bCs w:val="0"/>
                <w:sz w:val="20"/>
                <w:szCs w:val="20"/>
              </w:rPr>
              <w:t>Residential</w:t>
            </w:r>
          </w:p>
        </w:tc>
        <w:tc>
          <w:tcPr>
            <w:tcW w:w="1652" w:type="pct"/>
            <w:shd w:val="clear" w:color="auto" w:fill="auto"/>
          </w:tcPr>
          <w:p w14:paraId="1F6D4C8E" w14:textId="08470590" w:rsidR="009A1958" w:rsidRPr="009A1958" w:rsidRDefault="009A1958" w:rsidP="009A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762</w:t>
            </w:r>
          </w:p>
        </w:tc>
        <w:tc>
          <w:tcPr>
            <w:tcW w:w="1385" w:type="pct"/>
            <w:shd w:val="clear" w:color="auto" w:fill="auto"/>
          </w:tcPr>
          <w:p w14:paraId="3F1EB555" w14:textId="395FEF3E" w:rsidR="009A1958" w:rsidRPr="009A1958" w:rsidRDefault="009A1958" w:rsidP="009A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413</w:t>
            </w:r>
          </w:p>
        </w:tc>
      </w:tr>
      <w:tr w:rsidR="009A1958" w:rsidRPr="000325FA" w14:paraId="7313D08A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shd w:val="clear" w:color="auto" w:fill="auto"/>
          </w:tcPr>
          <w:p w14:paraId="6E6940D4" w14:textId="1FBD36E6" w:rsidR="009A1958" w:rsidRPr="009A1958" w:rsidRDefault="009A1958" w:rsidP="009A1958">
            <w:pPr>
              <w:rPr>
                <w:b w:val="0"/>
                <w:bCs w:val="0"/>
                <w:sz w:val="20"/>
                <w:szCs w:val="20"/>
              </w:rPr>
            </w:pPr>
            <w:r w:rsidRPr="009A1958">
              <w:rPr>
                <w:b w:val="0"/>
                <w:bCs w:val="0"/>
                <w:sz w:val="20"/>
                <w:szCs w:val="20"/>
              </w:rPr>
              <w:t>Commercial Shop</w:t>
            </w:r>
          </w:p>
        </w:tc>
        <w:tc>
          <w:tcPr>
            <w:tcW w:w="1652" w:type="pct"/>
            <w:shd w:val="clear" w:color="auto" w:fill="auto"/>
          </w:tcPr>
          <w:p w14:paraId="56E8F3D5" w14:textId="69BF996C" w:rsidR="009A1958" w:rsidRPr="009A1958" w:rsidRDefault="009A1958" w:rsidP="009A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12</w:t>
            </w:r>
          </w:p>
        </w:tc>
        <w:tc>
          <w:tcPr>
            <w:tcW w:w="1385" w:type="pct"/>
            <w:shd w:val="clear" w:color="auto" w:fill="auto"/>
          </w:tcPr>
          <w:p w14:paraId="41DF2518" w14:textId="6C608AFF" w:rsidR="009A1958" w:rsidRPr="009A1958" w:rsidRDefault="009A1958" w:rsidP="009A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3</w:t>
            </w:r>
          </w:p>
        </w:tc>
      </w:tr>
      <w:tr w:rsidR="009A1958" w:rsidRPr="00CA2EAE" w14:paraId="0255B879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shd w:val="clear" w:color="auto" w:fill="auto"/>
          </w:tcPr>
          <w:p w14:paraId="5A343C03" w14:textId="38EFE940" w:rsidR="009A1958" w:rsidRPr="009A1958" w:rsidRDefault="009A1958" w:rsidP="009A1958">
            <w:pPr>
              <w:rPr>
                <w:b w:val="0"/>
                <w:bCs w:val="0"/>
                <w:sz w:val="20"/>
                <w:szCs w:val="20"/>
              </w:rPr>
            </w:pPr>
            <w:r w:rsidRPr="009A1958">
              <w:rPr>
                <w:b w:val="0"/>
                <w:bCs w:val="0"/>
                <w:sz w:val="20"/>
                <w:szCs w:val="20"/>
              </w:rPr>
              <w:t>Commercial Office</w:t>
            </w:r>
          </w:p>
        </w:tc>
        <w:tc>
          <w:tcPr>
            <w:tcW w:w="1652" w:type="pct"/>
            <w:shd w:val="clear" w:color="auto" w:fill="auto"/>
          </w:tcPr>
          <w:p w14:paraId="20EF1EED" w14:textId="65D9B722" w:rsidR="009A1958" w:rsidRPr="009A1958" w:rsidRDefault="009A1958" w:rsidP="009A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2</w:t>
            </w:r>
          </w:p>
        </w:tc>
        <w:tc>
          <w:tcPr>
            <w:tcW w:w="1385" w:type="pct"/>
            <w:shd w:val="clear" w:color="auto" w:fill="auto"/>
          </w:tcPr>
          <w:p w14:paraId="108229CA" w14:textId="5A064626" w:rsidR="009A1958" w:rsidRPr="009A1958" w:rsidRDefault="009A1958" w:rsidP="009A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0</w:t>
            </w:r>
          </w:p>
        </w:tc>
      </w:tr>
      <w:tr w:rsidR="009A1958" w:rsidRPr="00CA2EAE" w14:paraId="39A90E5D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shd w:val="clear" w:color="auto" w:fill="auto"/>
          </w:tcPr>
          <w:p w14:paraId="2D92B886" w14:textId="66D411F7" w:rsidR="009A1958" w:rsidRPr="009A1958" w:rsidRDefault="009A1958" w:rsidP="009A1958">
            <w:pPr>
              <w:rPr>
                <w:b w:val="0"/>
                <w:bCs w:val="0"/>
                <w:sz w:val="20"/>
                <w:szCs w:val="20"/>
              </w:rPr>
            </w:pPr>
            <w:r w:rsidRPr="009A1958">
              <w:rPr>
                <w:b w:val="0"/>
                <w:bCs w:val="0"/>
                <w:sz w:val="20"/>
                <w:szCs w:val="20"/>
              </w:rPr>
              <w:t>Commercial Other</w:t>
            </w:r>
          </w:p>
        </w:tc>
        <w:tc>
          <w:tcPr>
            <w:tcW w:w="1652" w:type="pct"/>
            <w:shd w:val="clear" w:color="auto" w:fill="auto"/>
          </w:tcPr>
          <w:p w14:paraId="70BDB9DB" w14:textId="3ECB21D6" w:rsidR="009A1958" w:rsidRPr="009A1958" w:rsidRDefault="009A1958" w:rsidP="009A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47</w:t>
            </w:r>
          </w:p>
        </w:tc>
        <w:tc>
          <w:tcPr>
            <w:tcW w:w="1385" w:type="pct"/>
            <w:shd w:val="clear" w:color="auto" w:fill="auto"/>
          </w:tcPr>
          <w:p w14:paraId="398FFAD9" w14:textId="05DD9416" w:rsidR="009A1958" w:rsidRPr="009A1958" w:rsidRDefault="009A1958" w:rsidP="009A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9</w:t>
            </w:r>
          </w:p>
        </w:tc>
      </w:tr>
      <w:tr w:rsidR="009A1958" w:rsidRPr="00CA2EAE" w14:paraId="029D6181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shd w:val="clear" w:color="auto" w:fill="auto"/>
          </w:tcPr>
          <w:p w14:paraId="2598E52C" w14:textId="70C22923" w:rsidR="009A1958" w:rsidRPr="009A1958" w:rsidRDefault="009A1958" w:rsidP="009A1958">
            <w:pPr>
              <w:rPr>
                <w:b w:val="0"/>
                <w:bCs w:val="0"/>
                <w:sz w:val="20"/>
                <w:szCs w:val="20"/>
              </w:rPr>
            </w:pPr>
            <w:r w:rsidRPr="009A1958">
              <w:rPr>
                <w:b w:val="0"/>
                <w:bCs w:val="0"/>
                <w:sz w:val="20"/>
                <w:szCs w:val="20"/>
              </w:rPr>
              <w:t>Industrial Light</w:t>
            </w:r>
          </w:p>
        </w:tc>
        <w:tc>
          <w:tcPr>
            <w:tcW w:w="1652" w:type="pct"/>
            <w:shd w:val="clear" w:color="auto" w:fill="auto"/>
          </w:tcPr>
          <w:p w14:paraId="759C8539" w14:textId="6BC9727D" w:rsidR="009A1958" w:rsidRPr="009A1958" w:rsidRDefault="009A1958" w:rsidP="009A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15</w:t>
            </w:r>
          </w:p>
        </w:tc>
        <w:tc>
          <w:tcPr>
            <w:tcW w:w="1385" w:type="pct"/>
            <w:shd w:val="clear" w:color="auto" w:fill="auto"/>
          </w:tcPr>
          <w:p w14:paraId="10AFDD69" w14:textId="12A256B8" w:rsidR="009A1958" w:rsidRPr="009A1958" w:rsidRDefault="009A1958" w:rsidP="009A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2</w:t>
            </w:r>
          </w:p>
        </w:tc>
      </w:tr>
      <w:tr w:rsidR="009A1958" w:rsidRPr="00CA2EAE" w14:paraId="59795D91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shd w:val="clear" w:color="auto" w:fill="auto"/>
          </w:tcPr>
          <w:p w14:paraId="6AB23D18" w14:textId="63B11FF2" w:rsidR="009A1958" w:rsidRPr="009A1958" w:rsidRDefault="009A1958" w:rsidP="009A1958">
            <w:pPr>
              <w:rPr>
                <w:b w:val="0"/>
                <w:bCs w:val="0"/>
                <w:sz w:val="20"/>
                <w:szCs w:val="20"/>
              </w:rPr>
            </w:pPr>
            <w:r w:rsidRPr="009A1958">
              <w:rPr>
                <w:b w:val="0"/>
                <w:bCs w:val="0"/>
                <w:sz w:val="20"/>
                <w:szCs w:val="20"/>
              </w:rPr>
              <w:lastRenderedPageBreak/>
              <w:t>Industrial Other</w:t>
            </w:r>
          </w:p>
        </w:tc>
        <w:tc>
          <w:tcPr>
            <w:tcW w:w="1652" w:type="pct"/>
            <w:shd w:val="clear" w:color="auto" w:fill="auto"/>
          </w:tcPr>
          <w:p w14:paraId="52DEBA81" w14:textId="1790B549" w:rsidR="009A1958" w:rsidRPr="009A1958" w:rsidRDefault="009A1958" w:rsidP="009A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12</w:t>
            </w:r>
          </w:p>
        </w:tc>
        <w:tc>
          <w:tcPr>
            <w:tcW w:w="1385" w:type="pct"/>
            <w:shd w:val="clear" w:color="auto" w:fill="auto"/>
          </w:tcPr>
          <w:p w14:paraId="45A5D036" w14:textId="5537A7F2" w:rsidR="009A1958" w:rsidRPr="009A1958" w:rsidRDefault="009A1958" w:rsidP="009A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1</w:t>
            </w:r>
          </w:p>
        </w:tc>
      </w:tr>
      <w:tr w:rsidR="009A1958" w:rsidRPr="00CA2EAE" w14:paraId="141B1E82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shd w:val="clear" w:color="auto" w:fill="auto"/>
          </w:tcPr>
          <w:p w14:paraId="216D9CA0" w14:textId="1D23670D" w:rsidR="009A1958" w:rsidRPr="009A1958" w:rsidRDefault="009A1958" w:rsidP="009A1958">
            <w:pPr>
              <w:rPr>
                <w:b w:val="0"/>
                <w:bCs w:val="0"/>
                <w:sz w:val="20"/>
                <w:szCs w:val="20"/>
              </w:rPr>
            </w:pPr>
            <w:r w:rsidRPr="009A1958">
              <w:rPr>
                <w:b w:val="0"/>
                <w:bCs w:val="0"/>
                <w:sz w:val="20"/>
                <w:szCs w:val="20"/>
              </w:rPr>
              <w:t>Primary Production</w:t>
            </w:r>
          </w:p>
        </w:tc>
        <w:tc>
          <w:tcPr>
            <w:tcW w:w="1652" w:type="pct"/>
            <w:shd w:val="clear" w:color="auto" w:fill="auto"/>
          </w:tcPr>
          <w:p w14:paraId="051E77F3" w14:textId="62123A54" w:rsidR="009A1958" w:rsidRPr="009A1958" w:rsidRDefault="009A1958" w:rsidP="009A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8</w:t>
            </w:r>
          </w:p>
        </w:tc>
        <w:tc>
          <w:tcPr>
            <w:tcW w:w="1385" w:type="pct"/>
            <w:shd w:val="clear" w:color="auto" w:fill="auto"/>
          </w:tcPr>
          <w:p w14:paraId="7CEC663D" w14:textId="7A3E337F" w:rsidR="009A1958" w:rsidRPr="009A1958" w:rsidRDefault="009A1958" w:rsidP="009A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785</w:t>
            </w:r>
          </w:p>
        </w:tc>
      </w:tr>
      <w:tr w:rsidR="009A1958" w:rsidRPr="00CA2EAE" w14:paraId="7A4477CB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shd w:val="clear" w:color="auto" w:fill="auto"/>
          </w:tcPr>
          <w:p w14:paraId="4A7D9E1D" w14:textId="723512EB" w:rsidR="009A1958" w:rsidRPr="009A1958" w:rsidRDefault="009A1958" w:rsidP="009A1958">
            <w:pPr>
              <w:rPr>
                <w:b w:val="0"/>
                <w:bCs w:val="0"/>
                <w:sz w:val="20"/>
                <w:szCs w:val="20"/>
              </w:rPr>
            </w:pPr>
            <w:r w:rsidRPr="009A1958">
              <w:rPr>
                <w:b w:val="0"/>
                <w:bCs w:val="0"/>
                <w:sz w:val="20"/>
                <w:szCs w:val="20"/>
              </w:rPr>
              <w:t>Vacant Land</w:t>
            </w:r>
          </w:p>
        </w:tc>
        <w:tc>
          <w:tcPr>
            <w:tcW w:w="1652" w:type="pct"/>
            <w:shd w:val="clear" w:color="auto" w:fill="auto"/>
          </w:tcPr>
          <w:p w14:paraId="50279CCB" w14:textId="29335C52" w:rsidR="009A1958" w:rsidRPr="009A1958" w:rsidRDefault="009A1958" w:rsidP="009A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228</w:t>
            </w:r>
          </w:p>
        </w:tc>
        <w:tc>
          <w:tcPr>
            <w:tcW w:w="1385" w:type="pct"/>
            <w:shd w:val="clear" w:color="auto" w:fill="auto"/>
          </w:tcPr>
          <w:p w14:paraId="1AB704EB" w14:textId="1567944B" w:rsidR="009A1958" w:rsidRPr="009A1958" w:rsidRDefault="009A1958" w:rsidP="009A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55</w:t>
            </w:r>
          </w:p>
        </w:tc>
      </w:tr>
      <w:tr w:rsidR="009A1958" w:rsidRPr="00CA2EAE" w14:paraId="66C251FB" w14:textId="77777777" w:rsidTr="00F9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shd w:val="clear" w:color="auto" w:fill="auto"/>
          </w:tcPr>
          <w:p w14:paraId="2E4A59CE" w14:textId="7923C039" w:rsidR="009A1958" w:rsidRPr="009A1958" w:rsidRDefault="009A1958" w:rsidP="009A1958">
            <w:pPr>
              <w:rPr>
                <w:b w:val="0"/>
                <w:bCs w:val="0"/>
                <w:sz w:val="20"/>
                <w:szCs w:val="20"/>
              </w:rPr>
            </w:pPr>
            <w:r w:rsidRPr="009A1958">
              <w:rPr>
                <w:b w:val="0"/>
                <w:bCs w:val="0"/>
                <w:sz w:val="20"/>
                <w:szCs w:val="20"/>
              </w:rPr>
              <w:t>Other</w:t>
            </w:r>
          </w:p>
        </w:tc>
        <w:tc>
          <w:tcPr>
            <w:tcW w:w="1652" w:type="pct"/>
            <w:shd w:val="clear" w:color="auto" w:fill="auto"/>
          </w:tcPr>
          <w:p w14:paraId="75640E45" w14:textId="36452A06" w:rsidR="009A1958" w:rsidRPr="009A1958" w:rsidRDefault="009A1958" w:rsidP="009A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0</w:t>
            </w:r>
          </w:p>
        </w:tc>
        <w:tc>
          <w:tcPr>
            <w:tcW w:w="1385" w:type="pct"/>
            <w:shd w:val="clear" w:color="auto" w:fill="auto"/>
          </w:tcPr>
          <w:p w14:paraId="1A84767D" w14:textId="78419500" w:rsidR="009A1958" w:rsidRPr="009A1958" w:rsidRDefault="009A1958" w:rsidP="009A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6</w:t>
            </w:r>
          </w:p>
        </w:tc>
      </w:tr>
      <w:tr w:rsidR="009A1958" w:rsidRPr="00CA2EAE" w14:paraId="70B2EE16" w14:textId="77777777" w:rsidTr="00F906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shd w:val="clear" w:color="auto" w:fill="auto"/>
          </w:tcPr>
          <w:p w14:paraId="3C57232F" w14:textId="6B92387A" w:rsidR="009A1958" w:rsidRPr="009A1958" w:rsidRDefault="009A1958" w:rsidP="009A1958">
            <w:pPr>
              <w:rPr>
                <w:b w:val="0"/>
                <w:bCs w:val="0"/>
                <w:sz w:val="20"/>
                <w:szCs w:val="20"/>
              </w:rPr>
            </w:pPr>
            <w:r w:rsidRPr="009A1958">
              <w:rPr>
                <w:b w:val="0"/>
                <w:bCs w:val="0"/>
                <w:sz w:val="20"/>
                <w:szCs w:val="20"/>
              </w:rPr>
              <w:t>Marina Berths</w:t>
            </w:r>
          </w:p>
        </w:tc>
        <w:tc>
          <w:tcPr>
            <w:tcW w:w="1652" w:type="pct"/>
            <w:shd w:val="clear" w:color="auto" w:fill="auto"/>
          </w:tcPr>
          <w:p w14:paraId="75ED8C8D" w14:textId="5B419C9C" w:rsidR="009A1958" w:rsidRPr="009A1958" w:rsidRDefault="009A1958" w:rsidP="009A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21</w:t>
            </w:r>
          </w:p>
        </w:tc>
        <w:tc>
          <w:tcPr>
            <w:tcW w:w="1385" w:type="pct"/>
            <w:shd w:val="clear" w:color="auto" w:fill="auto"/>
          </w:tcPr>
          <w:p w14:paraId="3535EC31" w14:textId="53279AAA" w:rsidR="009A1958" w:rsidRPr="009A1958" w:rsidRDefault="009A1958" w:rsidP="009A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1958">
              <w:rPr>
                <w:sz w:val="20"/>
                <w:szCs w:val="20"/>
              </w:rPr>
              <w:t>0</w:t>
            </w:r>
          </w:p>
        </w:tc>
      </w:tr>
    </w:tbl>
    <w:p w14:paraId="3A694F05" w14:textId="77777777" w:rsidR="00FA5DE3" w:rsidRDefault="00FA5DE3" w:rsidP="003868AF">
      <w:pPr>
        <w:spacing w:after="0"/>
      </w:pPr>
    </w:p>
    <w:p w14:paraId="60381F5B" w14:textId="45EBF5FF" w:rsidR="008A43D7" w:rsidRDefault="0087000B" w:rsidP="003868AF">
      <w:pPr>
        <w:spacing w:after="0"/>
      </w:pPr>
      <w:r>
        <w:t>Ratepayers attending the</w:t>
      </w:r>
      <w:r w:rsidR="00416B99">
        <w:t xml:space="preserve"> information</w:t>
      </w:r>
      <w:r>
        <w:t xml:space="preserve"> session will be able to see how their individual property will likely be affected.</w:t>
      </w:r>
      <w:r w:rsidR="00F906A0">
        <w:t xml:space="preserve"> </w:t>
      </w:r>
      <w:r>
        <w:t xml:space="preserve"> Ratepayers unable to attend the consultation session can contact Council and ask how their property will likely be affected.</w:t>
      </w:r>
    </w:p>
    <w:p w14:paraId="04733508" w14:textId="7EA377CE" w:rsidR="009A6A30" w:rsidRDefault="003868AF" w:rsidP="003868AF">
      <w:pPr>
        <w:spacing w:after="0"/>
      </w:pPr>
      <w:r>
        <w:t xml:space="preserve">  </w:t>
      </w:r>
    </w:p>
    <w:p w14:paraId="64D3C244" w14:textId="0D93B28B" w:rsidR="003423EF" w:rsidRPr="003423EF" w:rsidRDefault="003423EF" w:rsidP="00FA5DE3">
      <w:pPr>
        <w:pStyle w:val="Heading1"/>
        <w:spacing w:before="0"/>
      </w:pPr>
      <w:bookmarkStart w:id="58" w:name="_Toc148095027"/>
      <w:r w:rsidRPr="003423EF">
        <w:t>Consultation Requirements</w:t>
      </w:r>
      <w:bookmarkEnd w:id="56"/>
      <w:bookmarkEnd w:id="58"/>
    </w:p>
    <w:p w14:paraId="2AD09361" w14:textId="77777777" w:rsidR="003423EF" w:rsidRPr="003423EF" w:rsidRDefault="003423EF" w:rsidP="008749D6">
      <w:pPr>
        <w:pStyle w:val="Heading2"/>
        <w:rPr>
          <w:rFonts w:eastAsiaTheme="majorEastAsia"/>
        </w:rPr>
      </w:pPr>
      <w:bookmarkStart w:id="59" w:name="_Toc466578225"/>
      <w:bookmarkStart w:id="60" w:name="_Toc148095028"/>
      <w:r w:rsidRPr="003423EF">
        <w:rPr>
          <w:rFonts w:eastAsiaTheme="majorEastAsia"/>
        </w:rPr>
        <w:t>Legislative Requirements for Consultation</w:t>
      </w:r>
      <w:bookmarkEnd w:id="59"/>
      <w:bookmarkEnd w:id="60"/>
    </w:p>
    <w:p w14:paraId="1EB2C090" w14:textId="77777777" w:rsidR="003423EF" w:rsidRPr="003423EF" w:rsidRDefault="003423EF" w:rsidP="003423EF">
      <w:r w:rsidRPr="003423EF">
        <w:t xml:space="preserve">There is a legal requirement for Councils to consult with their communities when considering changes to their rating methodology.  </w:t>
      </w:r>
    </w:p>
    <w:p w14:paraId="4A92235D" w14:textId="02492F15" w:rsidR="003423EF" w:rsidRPr="003423EF" w:rsidRDefault="003423EF" w:rsidP="003423EF">
      <w:r w:rsidRPr="003423EF">
        <w:t xml:space="preserve">S151 (5) of the </w:t>
      </w:r>
      <w:r w:rsidRPr="00AF3409">
        <w:t>Act</w:t>
      </w:r>
      <w:r w:rsidRPr="00CF61D7">
        <w:rPr>
          <w:i/>
          <w:iCs/>
        </w:rPr>
        <w:t xml:space="preserve"> </w:t>
      </w:r>
      <w:r w:rsidRPr="003423EF">
        <w:t>states that a Council must prepare a report before:</w:t>
      </w:r>
    </w:p>
    <w:p w14:paraId="63637276" w14:textId="67F5E37D" w:rsidR="003423EF" w:rsidRPr="003423EF" w:rsidRDefault="003423EF" w:rsidP="0087000B">
      <w:pPr>
        <w:numPr>
          <w:ilvl w:val="0"/>
          <w:numId w:val="12"/>
        </w:numPr>
        <w:spacing w:after="0" w:line="276" w:lineRule="auto"/>
        <w:contextualSpacing/>
      </w:pPr>
      <w:r w:rsidRPr="003423EF">
        <w:t xml:space="preserve">changing the basis of </w:t>
      </w:r>
      <w:r w:rsidR="0087000B">
        <w:t>r</w:t>
      </w:r>
      <w:r w:rsidRPr="003423EF">
        <w:t xml:space="preserve">ating of any land or </w:t>
      </w:r>
    </w:p>
    <w:p w14:paraId="792B043C" w14:textId="68009113" w:rsidR="003423EF" w:rsidRPr="003423EF" w:rsidRDefault="003423EF" w:rsidP="0087000B">
      <w:pPr>
        <w:numPr>
          <w:ilvl w:val="0"/>
          <w:numId w:val="12"/>
        </w:numPr>
        <w:spacing w:after="0" w:line="276" w:lineRule="auto"/>
        <w:contextualSpacing/>
      </w:pPr>
      <w:r w:rsidRPr="003423EF">
        <w:t xml:space="preserve">changing the basis on which land is valued for rating purposes or </w:t>
      </w:r>
    </w:p>
    <w:p w14:paraId="024E7D2B" w14:textId="77777777" w:rsidR="003423EF" w:rsidRPr="003423EF" w:rsidRDefault="003423EF" w:rsidP="0087000B">
      <w:pPr>
        <w:numPr>
          <w:ilvl w:val="0"/>
          <w:numId w:val="12"/>
        </w:numPr>
        <w:spacing w:after="0" w:line="276" w:lineRule="auto"/>
        <w:contextualSpacing/>
      </w:pPr>
      <w:r w:rsidRPr="003423EF">
        <w:t xml:space="preserve">imposing separate rates, service rates or service charges, </w:t>
      </w:r>
    </w:p>
    <w:p w14:paraId="18248868" w14:textId="77777777" w:rsidR="003423EF" w:rsidRPr="003423EF" w:rsidRDefault="003423EF" w:rsidP="003423EF">
      <w:pPr>
        <w:spacing w:after="0"/>
        <w:ind w:left="720"/>
        <w:contextualSpacing/>
      </w:pPr>
    </w:p>
    <w:p w14:paraId="4C91B096" w14:textId="0567C440" w:rsidR="003423EF" w:rsidRPr="003423EF" w:rsidRDefault="003423EF" w:rsidP="003423EF">
      <w:r w:rsidRPr="003423EF">
        <w:t xml:space="preserve">S 151(7) of the </w:t>
      </w:r>
      <w:r w:rsidRPr="00AF3409">
        <w:t>Act</w:t>
      </w:r>
      <w:r w:rsidRPr="00CF61D7">
        <w:rPr>
          <w:i/>
          <w:iCs/>
        </w:rPr>
        <w:t xml:space="preserve"> </w:t>
      </w:r>
      <w:r w:rsidRPr="003423EF">
        <w:t>states that the Council must follow the steps of its public consultation policy but must at least:</w:t>
      </w:r>
    </w:p>
    <w:p w14:paraId="0C303AD2" w14:textId="3633E1B3" w:rsidR="003423EF" w:rsidRPr="003423EF" w:rsidRDefault="0087000B" w:rsidP="0087000B">
      <w:pPr>
        <w:numPr>
          <w:ilvl w:val="0"/>
          <w:numId w:val="13"/>
        </w:numPr>
        <w:spacing w:after="0" w:line="276" w:lineRule="auto"/>
        <w:contextualSpacing/>
      </w:pPr>
      <w:r>
        <w:t>P</w:t>
      </w:r>
      <w:r w:rsidR="003423EF" w:rsidRPr="003423EF">
        <w:t xml:space="preserve">ublish a </w:t>
      </w:r>
      <w:r w:rsidR="00DD56DD" w:rsidRPr="003423EF">
        <w:t>notice.</w:t>
      </w:r>
      <w:r w:rsidR="003423EF" w:rsidRPr="003423EF">
        <w:t xml:space="preserve"> </w:t>
      </w:r>
    </w:p>
    <w:p w14:paraId="314D32FA" w14:textId="158E0B9E" w:rsidR="003423EF" w:rsidRPr="003423EF" w:rsidRDefault="0087000B" w:rsidP="0087000B">
      <w:pPr>
        <w:numPr>
          <w:ilvl w:val="0"/>
          <w:numId w:val="13"/>
        </w:numPr>
        <w:spacing w:after="0" w:line="276" w:lineRule="auto"/>
        <w:contextualSpacing/>
      </w:pPr>
      <w:r>
        <w:t>D</w:t>
      </w:r>
      <w:r w:rsidR="003423EF" w:rsidRPr="003423EF">
        <w:t>escribing the proposed change</w:t>
      </w:r>
    </w:p>
    <w:p w14:paraId="79A96C7F" w14:textId="357A1151" w:rsidR="003423EF" w:rsidRPr="003423EF" w:rsidRDefault="0087000B" w:rsidP="0087000B">
      <w:pPr>
        <w:numPr>
          <w:ilvl w:val="0"/>
          <w:numId w:val="13"/>
        </w:numPr>
        <w:spacing w:after="0" w:line="276" w:lineRule="auto"/>
        <w:contextualSpacing/>
      </w:pPr>
      <w:r>
        <w:t>N</w:t>
      </w:r>
      <w:r w:rsidR="003423EF" w:rsidRPr="003423EF">
        <w:t xml:space="preserve">otifying that a Rate Review Report is being </w:t>
      </w:r>
      <w:r w:rsidR="00DD56DD" w:rsidRPr="003423EF">
        <w:t>prepared.</w:t>
      </w:r>
    </w:p>
    <w:p w14:paraId="73B42F82" w14:textId="26F72B77" w:rsidR="003423EF" w:rsidRPr="003423EF" w:rsidRDefault="0087000B" w:rsidP="0087000B">
      <w:pPr>
        <w:numPr>
          <w:ilvl w:val="0"/>
          <w:numId w:val="13"/>
        </w:numPr>
        <w:spacing w:after="0" w:line="276" w:lineRule="auto"/>
        <w:contextualSpacing/>
      </w:pPr>
      <w:r>
        <w:t>I</w:t>
      </w:r>
      <w:r w:rsidR="003423EF" w:rsidRPr="003423EF">
        <w:t>nviting interested person</w:t>
      </w:r>
      <w:r>
        <w:t>s</w:t>
      </w:r>
      <w:r w:rsidR="003423EF" w:rsidRPr="003423EF">
        <w:t xml:space="preserve"> to </w:t>
      </w:r>
    </w:p>
    <w:p w14:paraId="628F734E" w14:textId="0EEB8C3E" w:rsidR="003423EF" w:rsidRPr="003423EF" w:rsidRDefault="003423EF" w:rsidP="0087000B">
      <w:pPr>
        <w:numPr>
          <w:ilvl w:val="1"/>
          <w:numId w:val="13"/>
        </w:numPr>
        <w:spacing w:after="0" w:line="276" w:lineRule="auto"/>
        <w:contextualSpacing/>
      </w:pPr>
      <w:r w:rsidRPr="003423EF">
        <w:t xml:space="preserve">attend a public </w:t>
      </w:r>
      <w:r w:rsidR="00DD56DD" w:rsidRPr="003423EF">
        <w:t>meeting.</w:t>
      </w:r>
    </w:p>
    <w:p w14:paraId="34475286" w14:textId="77777777" w:rsidR="003423EF" w:rsidRPr="003423EF" w:rsidRDefault="003423EF" w:rsidP="0087000B">
      <w:pPr>
        <w:numPr>
          <w:ilvl w:val="1"/>
          <w:numId w:val="13"/>
        </w:numPr>
        <w:spacing w:after="0" w:line="276" w:lineRule="auto"/>
        <w:contextualSpacing/>
      </w:pPr>
      <w:r w:rsidRPr="003423EF">
        <w:t>make written submissions.</w:t>
      </w:r>
    </w:p>
    <w:p w14:paraId="2F35BAB1" w14:textId="78CA7A43" w:rsidR="003423EF" w:rsidRPr="003423EF" w:rsidRDefault="003423EF" w:rsidP="0087000B">
      <w:pPr>
        <w:numPr>
          <w:ilvl w:val="0"/>
          <w:numId w:val="13"/>
        </w:numPr>
        <w:spacing w:after="0" w:line="276" w:lineRule="auto"/>
        <w:contextualSpacing/>
      </w:pPr>
      <w:r w:rsidRPr="003423EF">
        <w:t>Organise a public meeting</w:t>
      </w:r>
      <w:r w:rsidR="00F906A0">
        <w:t>,</w:t>
      </w:r>
      <w:r w:rsidRPr="003423EF">
        <w:t xml:space="preserve"> which must be held at least 21 days after the publication of the </w:t>
      </w:r>
      <w:r w:rsidR="00DD56DD" w:rsidRPr="003423EF">
        <w:t>notice.</w:t>
      </w:r>
    </w:p>
    <w:p w14:paraId="3B47F43D" w14:textId="7011FCDF" w:rsidR="003423EF" w:rsidRPr="003423EF" w:rsidRDefault="003423EF" w:rsidP="0087000B">
      <w:pPr>
        <w:numPr>
          <w:ilvl w:val="0"/>
          <w:numId w:val="13"/>
        </w:numPr>
        <w:spacing w:after="0" w:line="276" w:lineRule="auto"/>
        <w:contextualSpacing/>
      </w:pPr>
      <w:r w:rsidRPr="003423EF">
        <w:t xml:space="preserve">Ensure copies of the report are </w:t>
      </w:r>
      <w:r w:rsidR="00DD56DD" w:rsidRPr="003423EF">
        <w:t>available.</w:t>
      </w:r>
      <w:r w:rsidRPr="003423EF">
        <w:t xml:space="preserve"> </w:t>
      </w:r>
    </w:p>
    <w:p w14:paraId="52719D21" w14:textId="77777777" w:rsidR="003423EF" w:rsidRPr="003423EF" w:rsidRDefault="003423EF" w:rsidP="0087000B">
      <w:pPr>
        <w:numPr>
          <w:ilvl w:val="1"/>
          <w:numId w:val="13"/>
        </w:numPr>
        <w:spacing w:after="0" w:line="276" w:lineRule="auto"/>
        <w:contextualSpacing/>
      </w:pPr>
      <w:r w:rsidRPr="003423EF">
        <w:t>at the meeting</w:t>
      </w:r>
    </w:p>
    <w:p w14:paraId="6BA5D413" w14:textId="77777777" w:rsidR="003423EF" w:rsidRPr="003423EF" w:rsidRDefault="003423EF" w:rsidP="0087000B">
      <w:pPr>
        <w:numPr>
          <w:ilvl w:val="1"/>
          <w:numId w:val="13"/>
        </w:numPr>
        <w:spacing w:after="0" w:line="276" w:lineRule="auto"/>
        <w:contextualSpacing/>
      </w:pPr>
      <w:r w:rsidRPr="003423EF">
        <w:t>during the consultation period</w:t>
      </w:r>
    </w:p>
    <w:p w14:paraId="53C5DBFB" w14:textId="060FB036" w:rsidR="003423EF" w:rsidRPr="003423EF" w:rsidRDefault="003423EF" w:rsidP="0087000B">
      <w:pPr>
        <w:numPr>
          <w:ilvl w:val="1"/>
          <w:numId w:val="13"/>
        </w:numPr>
        <w:spacing w:after="0" w:line="276" w:lineRule="auto"/>
        <w:contextualSpacing/>
      </w:pPr>
      <w:r w:rsidRPr="003423EF">
        <w:t>for inspection at Council</w:t>
      </w:r>
      <w:r w:rsidR="00F906A0">
        <w:t>'</w:t>
      </w:r>
      <w:r w:rsidRPr="003423EF">
        <w:t>s office for free or</w:t>
      </w:r>
    </w:p>
    <w:p w14:paraId="6895086B" w14:textId="77777777" w:rsidR="003423EF" w:rsidRPr="003423EF" w:rsidRDefault="003423EF" w:rsidP="0087000B">
      <w:pPr>
        <w:numPr>
          <w:ilvl w:val="1"/>
          <w:numId w:val="13"/>
        </w:numPr>
        <w:spacing w:after="200" w:line="276" w:lineRule="auto"/>
        <w:contextualSpacing/>
      </w:pPr>
      <w:r w:rsidRPr="003423EF">
        <w:t>for purchase for a fee set by Council</w:t>
      </w:r>
    </w:p>
    <w:p w14:paraId="3870E1B7" w14:textId="193004FF" w:rsidR="003423EF" w:rsidRPr="003423EF" w:rsidRDefault="00EE687F" w:rsidP="003423EF">
      <w:r>
        <w:t>The C</w:t>
      </w:r>
      <w:r w:rsidR="003423EF" w:rsidRPr="003423EF">
        <w:t xml:space="preserve">ouncil must consider any </w:t>
      </w:r>
      <w:r w:rsidR="0087000B">
        <w:t>written submissions</w:t>
      </w:r>
      <w:r w:rsidR="003423EF" w:rsidRPr="003423EF">
        <w:t xml:space="preserve"> during the consultation or public meeting.</w:t>
      </w:r>
    </w:p>
    <w:p w14:paraId="25ABD2E9" w14:textId="5F72E51B" w:rsidR="002F0083" w:rsidRDefault="002F0083" w:rsidP="002A1AA2"/>
    <w:p w14:paraId="55CC38AA" w14:textId="43A69391" w:rsidR="00392FBE" w:rsidRDefault="00392FBE" w:rsidP="00020050"/>
    <w:p w14:paraId="6877FFB5" w14:textId="74D7E15A" w:rsidR="00FA4087" w:rsidRDefault="00FA4087"/>
    <w:sectPr w:rsidR="00FA4087" w:rsidSect="0043070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79E2" w14:textId="77777777" w:rsidR="00B21647" w:rsidRDefault="00B21647" w:rsidP="00CC6D68">
      <w:pPr>
        <w:spacing w:after="0" w:line="240" w:lineRule="auto"/>
      </w:pPr>
      <w:r>
        <w:separator/>
      </w:r>
    </w:p>
  </w:endnote>
  <w:endnote w:type="continuationSeparator" w:id="0">
    <w:p w14:paraId="6E361A68" w14:textId="77777777" w:rsidR="00B21647" w:rsidRDefault="00B21647" w:rsidP="00CC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094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AB8F01" w14:textId="0175056F" w:rsidR="000755E4" w:rsidRDefault="000755E4" w:rsidP="00CC6D68">
        <w:pPr>
          <w:pStyle w:val="Footer"/>
          <w:pBdr>
            <w:top w:val="single" w:sz="4" w:space="1" w:color="D9D9D9" w:themeColor="background1" w:themeShade="D9"/>
          </w:pBdr>
          <w:tabs>
            <w:tab w:val="left" w:pos="456"/>
          </w:tabs>
        </w:pPr>
        <w:r>
          <w:t>UHY Haines Norton Adelaide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A4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199F141" w14:textId="77777777" w:rsidR="000755E4" w:rsidRDefault="0007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3DF1" w14:textId="77777777" w:rsidR="00B21647" w:rsidRDefault="00B21647" w:rsidP="00CC6D68">
      <w:pPr>
        <w:spacing w:after="0" w:line="240" w:lineRule="auto"/>
      </w:pPr>
      <w:r>
        <w:separator/>
      </w:r>
    </w:p>
  </w:footnote>
  <w:footnote w:type="continuationSeparator" w:id="0">
    <w:p w14:paraId="46666BFD" w14:textId="77777777" w:rsidR="00B21647" w:rsidRDefault="00B21647" w:rsidP="00CC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125A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974F6"/>
    <w:multiLevelType w:val="hybridMultilevel"/>
    <w:tmpl w:val="00868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F3A"/>
    <w:multiLevelType w:val="hybridMultilevel"/>
    <w:tmpl w:val="0CDC8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7514"/>
    <w:multiLevelType w:val="multilevel"/>
    <w:tmpl w:val="B082D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DB764C"/>
    <w:multiLevelType w:val="hybridMultilevel"/>
    <w:tmpl w:val="7AB28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0A3"/>
    <w:multiLevelType w:val="hybridMultilevel"/>
    <w:tmpl w:val="2B1E6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960CA"/>
    <w:multiLevelType w:val="hybridMultilevel"/>
    <w:tmpl w:val="E1980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3BB"/>
    <w:multiLevelType w:val="hybridMultilevel"/>
    <w:tmpl w:val="03D8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3B0B"/>
    <w:multiLevelType w:val="hybridMultilevel"/>
    <w:tmpl w:val="C4161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C769E"/>
    <w:multiLevelType w:val="hybridMultilevel"/>
    <w:tmpl w:val="C0CCC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4130B"/>
    <w:multiLevelType w:val="hybridMultilevel"/>
    <w:tmpl w:val="7B32C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3BA7"/>
    <w:multiLevelType w:val="hybridMultilevel"/>
    <w:tmpl w:val="770A2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13D0"/>
    <w:multiLevelType w:val="multilevel"/>
    <w:tmpl w:val="07580D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Style1"/>
      <w:lvlText w:val="%2.1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927CF9"/>
    <w:multiLevelType w:val="hybridMultilevel"/>
    <w:tmpl w:val="EFFC36E2"/>
    <w:lvl w:ilvl="0" w:tplc="0512CFE2">
      <w:start w:val="1"/>
      <w:numFmt w:val="decimal"/>
      <w:pStyle w:val="Heading4"/>
      <w:lvlText w:val="%1.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3067"/>
    <w:multiLevelType w:val="multilevel"/>
    <w:tmpl w:val="7D3CDD78"/>
    <w:lvl w:ilvl="0">
      <w:start w:val="1"/>
      <w:numFmt w:val="decimal"/>
      <w:pStyle w:val="Hea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07021E"/>
    <w:multiLevelType w:val="hybridMultilevel"/>
    <w:tmpl w:val="DA1E6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91E35"/>
    <w:multiLevelType w:val="hybridMultilevel"/>
    <w:tmpl w:val="3D8ED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867DD"/>
    <w:multiLevelType w:val="hybridMultilevel"/>
    <w:tmpl w:val="D0D4D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E2E03"/>
    <w:multiLevelType w:val="hybridMultilevel"/>
    <w:tmpl w:val="BF46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20BBB"/>
    <w:multiLevelType w:val="hybridMultilevel"/>
    <w:tmpl w:val="E66E9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A12D2"/>
    <w:multiLevelType w:val="hybridMultilevel"/>
    <w:tmpl w:val="8A1E4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30D32"/>
    <w:multiLevelType w:val="hybridMultilevel"/>
    <w:tmpl w:val="D04C8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9B2ADE"/>
    <w:multiLevelType w:val="hybridMultilevel"/>
    <w:tmpl w:val="6C16E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510A1"/>
    <w:multiLevelType w:val="hybridMultilevel"/>
    <w:tmpl w:val="5BB6C7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9FB10E3"/>
    <w:multiLevelType w:val="hybridMultilevel"/>
    <w:tmpl w:val="EDE28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E0C9D"/>
    <w:multiLevelType w:val="hybridMultilevel"/>
    <w:tmpl w:val="2D2A1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26531"/>
    <w:multiLevelType w:val="hybridMultilevel"/>
    <w:tmpl w:val="B23C39C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39142B9"/>
    <w:multiLevelType w:val="hybridMultilevel"/>
    <w:tmpl w:val="FCD8A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436A7"/>
    <w:multiLevelType w:val="multilevel"/>
    <w:tmpl w:val="EF82D88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B0663AF"/>
    <w:multiLevelType w:val="hybridMultilevel"/>
    <w:tmpl w:val="1F5A41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936D82"/>
    <w:multiLevelType w:val="hybridMultilevel"/>
    <w:tmpl w:val="D5E08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3145">
    <w:abstractNumId w:val="3"/>
  </w:num>
  <w:num w:numId="2" w16cid:durableId="1904829782">
    <w:abstractNumId w:val="19"/>
  </w:num>
  <w:num w:numId="3" w16cid:durableId="1945112699">
    <w:abstractNumId w:val="10"/>
  </w:num>
  <w:num w:numId="4" w16cid:durableId="273288537">
    <w:abstractNumId w:val="18"/>
  </w:num>
  <w:num w:numId="5" w16cid:durableId="1819609153">
    <w:abstractNumId w:val="20"/>
  </w:num>
  <w:num w:numId="6" w16cid:durableId="1346396486">
    <w:abstractNumId w:val="2"/>
  </w:num>
  <w:num w:numId="7" w16cid:durableId="1803384647">
    <w:abstractNumId w:val="27"/>
  </w:num>
  <w:num w:numId="8" w16cid:durableId="948466375">
    <w:abstractNumId w:val="17"/>
  </w:num>
  <w:num w:numId="9" w16cid:durableId="91436256">
    <w:abstractNumId w:val="7"/>
  </w:num>
  <w:num w:numId="10" w16cid:durableId="1662731885">
    <w:abstractNumId w:val="24"/>
  </w:num>
  <w:num w:numId="11" w16cid:durableId="852456998">
    <w:abstractNumId w:val="29"/>
  </w:num>
  <w:num w:numId="12" w16cid:durableId="1770156238">
    <w:abstractNumId w:val="30"/>
  </w:num>
  <w:num w:numId="13" w16cid:durableId="20283003">
    <w:abstractNumId w:val="1"/>
  </w:num>
  <w:num w:numId="14" w16cid:durableId="1258321246">
    <w:abstractNumId w:val="11"/>
  </w:num>
  <w:num w:numId="15" w16cid:durableId="1756902108">
    <w:abstractNumId w:val="15"/>
  </w:num>
  <w:num w:numId="16" w16cid:durableId="1975138503">
    <w:abstractNumId w:val="14"/>
  </w:num>
  <w:num w:numId="17" w16cid:durableId="1651205162">
    <w:abstractNumId w:val="12"/>
  </w:num>
  <w:num w:numId="18" w16cid:durableId="1867064443">
    <w:abstractNumId w:val="13"/>
  </w:num>
  <w:num w:numId="19" w16cid:durableId="17202745">
    <w:abstractNumId w:val="28"/>
  </w:num>
  <w:num w:numId="20" w16cid:durableId="1578780767">
    <w:abstractNumId w:val="0"/>
  </w:num>
  <w:num w:numId="21" w16cid:durableId="569661000">
    <w:abstractNumId w:val="16"/>
  </w:num>
  <w:num w:numId="22" w16cid:durableId="1472942713">
    <w:abstractNumId w:val="26"/>
  </w:num>
  <w:num w:numId="23" w16cid:durableId="2065254444">
    <w:abstractNumId w:val="23"/>
  </w:num>
  <w:num w:numId="24" w16cid:durableId="1205673317">
    <w:abstractNumId w:val="4"/>
  </w:num>
  <w:num w:numId="25" w16cid:durableId="515392064">
    <w:abstractNumId w:val="6"/>
  </w:num>
  <w:num w:numId="26" w16cid:durableId="477039721">
    <w:abstractNumId w:val="25"/>
  </w:num>
  <w:num w:numId="27" w16cid:durableId="737017982">
    <w:abstractNumId w:val="22"/>
  </w:num>
  <w:num w:numId="28" w16cid:durableId="1371688418">
    <w:abstractNumId w:val="9"/>
  </w:num>
  <w:num w:numId="29" w16cid:durableId="523137105">
    <w:abstractNumId w:val="8"/>
  </w:num>
  <w:num w:numId="30" w16cid:durableId="2088574826">
    <w:abstractNumId w:val="21"/>
  </w:num>
  <w:num w:numId="31" w16cid:durableId="130486866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E0NbI0MjY0NjQyMjFW0lEKTi0uzszPAykwNK4FAL2yI2ItAAAA"/>
  </w:docVars>
  <w:rsids>
    <w:rsidRoot w:val="0051753D"/>
    <w:rsid w:val="0000074A"/>
    <w:rsid w:val="0000110A"/>
    <w:rsid w:val="00003682"/>
    <w:rsid w:val="000048A3"/>
    <w:rsid w:val="000109B0"/>
    <w:rsid w:val="00011366"/>
    <w:rsid w:val="00012B48"/>
    <w:rsid w:val="00013FA4"/>
    <w:rsid w:val="0001505C"/>
    <w:rsid w:val="000168B8"/>
    <w:rsid w:val="00020050"/>
    <w:rsid w:val="00030011"/>
    <w:rsid w:val="00030A8A"/>
    <w:rsid w:val="000315EA"/>
    <w:rsid w:val="00032509"/>
    <w:rsid w:val="000325FA"/>
    <w:rsid w:val="00034A1A"/>
    <w:rsid w:val="000350A4"/>
    <w:rsid w:val="00037239"/>
    <w:rsid w:val="0003780D"/>
    <w:rsid w:val="00040B2C"/>
    <w:rsid w:val="0004314D"/>
    <w:rsid w:val="00047B48"/>
    <w:rsid w:val="0005065C"/>
    <w:rsid w:val="00053954"/>
    <w:rsid w:val="00054898"/>
    <w:rsid w:val="00056818"/>
    <w:rsid w:val="00057C20"/>
    <w:rsid w:val="00060B78"/>
    <w:rsid w:val="00061C19"/>
    <w:rsid w:val="00063B7E"/>
    <w:rsid w:val="0006458F"/>
    <w:rsid w:val="0006536A"/>
    <w:rsid w:val="00065D68"/>
    <w:rsid w:val="00067FF4"/>
    <w:rsid w:val="00070441"/>
    <w:rsid w:val="00070A97"/>
    <w:rsid w:val="00072B27"/>
    <w:rsid w:val="00073444"/>
    <w:rsid w:val="00073B80"/>
    <w:rsid w:val="00075459"/>
    <w:rsid w:val="000755E4"/>
    <w:rsid w:val="00075B99"/>
    <w:rsid w:val="00076DB4"/>
    <w:rsid w:val="000774E5"/>
    <w:rsid w:val="00080FF2"/>
    <w:rsid w:val="000825AD"/>
    <w:rsid w:val="00084C2B"/>
    <w:rsid w:val="00085625"/>
    <w:rsid w:val="00092265"/>
    <w:rsid w:val="0009391C"/>
    <w:rsid w:val="0009783E"/>
    <w:rsid w:val="000A15D9"/>
    <w:rsid w:val="000A355D"/>
    <w:rsid w:val="000A4EF2"/>
    <w:rsid w:val="000B4D33"/>
    <w:rsid w:val="000B55A9"/>
    <w:rsid w:val="000B71DE"/>
    <w:rsid w:val="000C27F5"/>
    <w:rsid w:val="000C3A47"/>
    <w:rsid w:val="000C3AF6"/>
    <w:rsid w:val="000C627B"/>
    <w:rsid w:val="000C7935"/>
    <w:rsid w:val="000D07F8"/>
    <w:rsid w:val="000D292A"/>
    <w:rsid w:val="000D798F"/>
    <w:rsid w:val="000E1EA5"/>
    <w:rsid w:val="000E3B5F"/>
    <w:rsid w:val="000E4D3A"/>
    <w:rsid w:val="000E5627"/>
    <w:rsid w:val="000E5B01"/>
    <w:rsid w:val="000E6151"/>
    <w:rsid w:val="000E68F7"/>
    <w:rsid w:val="000E72DE"/>
    <w:rsid w:val="000E77BD"/>
    <w:rsid w:val="000E7A63"/>
    <w:rsid w:val="000F009B"/>
    <w:rsid w:val="000F0695"/>
    <w:rsid w:val="000F2170"/>
    <w:rsid w:val="000F2872"/>
    <w:rsid w:val="00110BD7"/>
    <w:rsid w:val="001119D5"/>
    <w:rsid w:val="00116FF6"/>
    <w:rsid w:val="001170B0"/>
    <w:rsid w:val="00120698"/>
    <w:rsid w:val="00121F7D"/>
    <w:rsid w:val="00122768"/>
    <w:rsid w:val="001230E6"/>
    <w:rsid w:val="001246E7"/>
    <w:rsid w:val="00125F64"/>
    <w:rsid w:val="0012785D"/>
    <w:rsid w:val="0013139F"/>
    <w:rsid w:val="00131D2C"/>
    <w:rsid w:val="001347B2"/>
    <w:rsid w:val="00134CDF"/>
    <w:rsid w:val="00136882"/>
    <w:rsid w:val="00136F20"/>
    <w:rsid w:val="00140842"/>
    <w:rsid w:val="00140A1A"/>
    <w:rsid w:val="00142BF1"/>
    <w:rsid w:val="00143E0D"/>
    <w:rsid w:val="00145673"/>
    <w:rsid w:val="00145B05"/>
    <w:rsid w:val="001507CB"/>
    <w:rsid w:val="00150953"/>
    <w:rsid w:val="00155773"/>
    <w:rsid w:val="00157D6F"/>
    <w:rsid w:val="00161134"/>
    <w:rsid w:val="00161B82"/>
    <w:rsid w:val="00162890"/>
    <w:rsid w:val="0016340E"/>
    <w:rsid w:val="00163A0E"/>
    <w:rsid w:val="00165CB0"/>
    <w:rsid w:val="00166AB2"/>
    <w:rsid w:val="0016782C"/>
    <w:rsid w:val="00170CCE"/>
    <w:rsid w:val="00171E39"/>
    <w:rsid w:val="001720F0"/>
    <w:rsid w:val="001722D0"/>
    <w:rsid w:val="001725B1"/>
    <w:rsid w:val="00175557"/>
    <w:rsid w:val="0017599A"/>
    <w:rsid w:val="00177011"/>
    <w:rsid w:val="001807A3"/>
    <w:rsid w:val="00180AA0"/>
    <w:rsid w:val="00181C48"/>
    <w:rsid w:val="001868F5"/>
    <w:rsid w:val="00186942"/>
    <w:rsid w:val="00186FFC"/>
    <w:rsid w:val="001929AD"/>
    <w:rsid w:val="00193747"/>
    <w:rsid w:val="00195080"/>
    <w:rsid w:val="001A0D76"/>
    <w:rsid w:val="001A28BA"/>
    <w:rsid w:val="001A6243"/>
    <w:rsid w:val="001A6DBC"/>
    <w:rsid w:val="001B07C2"/>
    <w:rsid w:val="001B0EB6"/>
    <w:rsid w:val="001B10B7"/>
    <w:rsid w:val="001B770C"/>
    <w:rsid w:val="001C138C"/>
    <w:rsid w:val="001C69F1"/>
    <w:rsid w:val="001D00B0"/>
    <w:rsid w:val="001D1BAD"/>
    <w:rsid w:val="001D2E1F"/>
    <w:rsid w:val="001D428C"/>
    <w:rsid w:val="001E27EB"/>
    <w:rsid w:val="001E35D7"/>
    <w:rsid w:val="001E7463"/>
    <w:rsid w:val="001F10C7"/>
    <w:rsid w:val="001F15EB"/>
    <w:rsid w:val="001F19E5"/>
    <w:rsid w:val="001F48DB"/>
    <w:rsid w:val="001F685F"/>
    <w:rsid w:val="001F6DFC"/>
    <w:rsid w:val="001F6ECA"/>
    <w:rsid w:val="001F74FB"/>
    <w:rsid w:val="00200247"/>
    <w:rsid w:val="0020275B"/>
    <w:rsid w:val="00202BF0"/>
    <w:rsid w:val="00203917"/>
    <w:rsid w:val="002045D6"/>
    <w:rsid w:val="00206EFA"/>
    <w:rsid w:val="00207EE1"/>
    <w:rsid w:val="002117C0"/>
    <w:rsid w:val="00211E7B"/>
    <w:rsid w:val="002120B7"/>
    <w:rsid w:val="0021466C"/>
    <w:rsid w:val="0021507A"/>
    <w:rsid w:val="002153E0"/>
    <w:rsid w:val="002157EA"/>
    <w:rsid w:val="00223991"/>
    <w:rsid w:val="00224EF4"/>
    <w:rsid w:val="0022733E"/>
    <w:rsid w:val="00227D41"/>
    <w:rsid w:val="0023241F"/>
    <w:rsid w:val="0023244C"/>
    <w:rsid w:val="002351E8"/>
    <w:rsid w:val="00237AE8"/>
    <w:rsid w:val="0024070D"/>
    <w:rsid w:val="00245456"/>
    <w:rsid w:val="00245D1C"/>
    <w:rsid w:val="00246E0F"/>
    <w:rsid w:val="0025252B"/>
    <w:rsid w:val="00252D58"/>
    <w:rsid w:val="002554F2"/>
    <w:rsid w:val="00262C50"/>
    <w:rsid w:val="00263B8A"/>
    <w:rsid w:val="00264728"/>
    <w:rsid w:val="00266F53"/>
    <w:rsid w:val="0027002E"/>
    <w:rsid w:val="00270294"/>
    <w:rsid w:val="00271E1B"/>
    <w:rsid w:val="0027268C"/>
    <w:rsid w:val="0027533C"/>
    <w:rsid w:val="00275B31"/>
    <w:rsid w:val="00277B78"/>
    <w:rsid w:val="002824C1"/>
    <w:rsid w:val="00283BA9"/>
    <w:rsid w:val="00286FC6"/>
    <w:rsid w:val="00291D20"/>
    <w:rsid w:val="00291E62"/>
    <w:rsid w:val="0029203C"/>
    <w:rsid w:val="002925E8"/>
    <w:rsid w:val="002926F0"/>
    <w:rsid w:val="002929EE"/>
    <w:rsid w:val="00293FE1"/>
    <w:rsid w:val="002940AA"/>
    <w:rsid w:val="00294F8B"/>
    <w:rsid w:val="00295980"/>
    <w:rsid w:val="002A1AA2"/>
    <w:rsid w:val="002A25C1"/>
    <w:rsid w:val="002A2CA8"/>
    <w:rsid w:val="002A302B"/>
    <w:rsid w:val="002A3DBD"/>
    <w:rsid w:val="002A4CAD"/>
    <w:rsid w:val="002A6A8F"/>
    <w:rsid w:val="002B0339"/>
    <w:rsid w:val="002B4D0A"/>
    <w:rsid w:val="002C1191"/>
    <w:rsid w:val="002C4055"/>
    <w:rsid w:val="002C7E25"/>
    <w:rsid w:val="002D14DE"/>
    <w:rsid w:val="002D152A"/>
    <w:rsid w:val="002D20AC"/>
    <w:rsid w:val="002D5472"/>
    <w:rsid w:val="002E21B8"/>
    <w:rsid w:val="002E390E"/>
    <w:rsid w:val="002F0083"/>
    <w:rsid w:val="002F2BC8"/>
    <w:rsid w:val="002F2E94"/>
    <w:rsid w:val="002F7874"/>
    <w:rsid w:val="002F7B34"/>
    <w:rsid w:val="0030209C"/>
    <w:rsid w:val="00311932"/>
    <w:rsid w:val="0031674B"/>
    <w:rsid w:val="003173AF"/>
    <w:rsid w:val="0032177C"/>
    <w:rsid w:val="00322989"/>
    <w:rsid w:val="003243B3"/>
    <w:rsid w:val="00325435"/>
    <w:rsid w:val="003256C1"/>
    <w:rsid w:val="00326E15"/>
    <w:rsid w:val="0032706C"/>
    <w:rsid w:val="00330987"/>
    <w:rsid w:val="00330CEE"/>
    <w:rsid w:val="00332C91"/>
    <w:rsid w:val="00332ECE"/>
    <w:rsid w:val="003423EF"/>
    <w:rsid w:val="00342F6E"/>
    <w:rsid w:val="00343514"/>
    <w:rsid w:val="003504B6"/>
    <w:rsid w:val="00352335"/>
    <w:rsid w:val="00354088"/>
    <w:rsid w:val="003563DD"/>
    <w:rsid w:val="00356C56"/>
    <w:rsid w:val="00361156"/>
    <w:rsid w:val="00363CF5"/>
    <w:rsid w:val="00363D92"/>
    <w:rsid w:val="0036472A"/>
    <w:rsid w:val="00364F18"/>
    <w:rsid w:val="00365F09"/>
    <w:rsid w:val="00366862"/>
    <w:rsid w:val="003730A4"/>
    <w:rsid w:val="003759B6"/>
    <w:rsid w:val="00376877"/>
    <w:rsid w:val="00380ECB"/>
    <w:rsid w:val="003854BC"/>
    <w:rsid w:val="00385820"/>
    <w:rsid w:val="00385B38"/>
    <w:rsid w:val="003868AF"/>
    <w:rsid w:val="00387F5E"/>
    <w:rsid w:val="00392F64"/>
    <w:rsid w:val="00392FBE"/>
    <w:rsid w:val="003934AA"/>
    <w:rsid w:val="00395251"/>
    <w:rsid w:val="00395424"/>
    <w:rsid w:val="003A2238"/>
    <w:rsid w:val="003A224A"/>
    <w:rsid w:val="003A24D6"/>
    <w:rsid w:val="003A3B35"/>
    <w:rsid w:val="003A5C60"/>
    <w:rsid w:val="003A5D47"/>
    <w:rsid w:val="003A7880"/>
    <w:rsid w:val="003B0A7E"/>
    <w:rsid w:val="003B40D6"/>
    <w:rsid w:val="003C3004"/>
    <w:rsid w:val="003C49A5"/>
    <w:rsid w:val="003C4A3B"/>
    <w:rsid w:val="003C66AF"/>
    <w:rsid w:val="003C6E53"/>
    <w:rsid w:val="003D20A8"/>
    <w:rsid w:val="003D4945"/>
    <w:rsid w:val="003D746A"/>
    <w:rsid w:val="003E10E7"/>
    <w:rsid w:val="003E2C0A"/>
    <w:rsid w:val="003E3F93"/>
    <w:rsid w:val="003E7B2C"/>
    <w:rsid w:val="003F0B2E"/>
    <w:rsid w:val="003F3472"/>
    <w:rsid w:val="003F48C0"/>
    <w:rsid w:val="003F5DB1"/>
    <w:rsid w:val="004009E7"/>
    <w:rsid w:val="00400DEC"/>
    <w:rsid w:val="00402535"/>
    <w:rsid w:val="004029C5"/>
    <w:rsid w:val="00407462"/>
    <w:rsid w:val="00410BE1"/>
    <w:rsid w:val="00412E7A"/>
    <w:rsid w:val="0041315B"/>
    <w:rsid w:val="004133CC"/>
    <w:rsid w:val="00413DD5"/>
    <w:rsid w:val="00416B99"/>
    <w:rsid w:val="00420007"/>
    <w:rsid w:val="00424271"/>
    <w:rsid w:val="00426FF1"/>
    <w:rsid w:val="00430288"/>
    <w:rsid w:val="00430703"/>
    <w:rsid w:val="00431C3D"/>
    <w:rsid w:val="00436EEE"/>
    <w:rsid w:val="00437E91"/>
    <w:rsid w:val="00440292"/>
    <w:rsid w:val="004407F3"/>
    <w:rsid w:val="00440B99"/>
    <w:rsid w:val="00442441"/>
    <w:rsid w:val="0044268E"/>
    <w:rsid w:val="004439A0"/>
    <w:rsid w:val="0044437D"/>
    <w:rsid w:val="00445073"/>
    <w:rsid w:val="00445F4C"/>
    <w:rsid w:val="0044633F"/>
    <w:rsid w:val="004502BB"/>
    <w:rsid w:val="00451969"/>
    <w:rsid w:val="00455827"/>
    <w:rsid w:val="004558D9"/>
    <w:rsid w:val="004561E3"/>
    <w:rsid w:val="00456283"/>
    <w:rsid w:val="00456A89"/>
    <w:rsid w:val="00463093"/>
    <w:rsid w:val="00463DDE"/>
    <w:rsid w:val="00465B34"/>
    <w:rsid w:val="00465D8C"/>
    <w:rsid w:val="004706BC"/>
    <w:rsid w:val="00471175"/>
    <w:rsid w:val="00471D81"/>
    <w:rsid w:val="00474848"/>
    <w:rsid w:val="00475D53"/>
    <w:rsid w:val="00477498"/>
    <w:rsid w:val="004809AD"/>
    <w:rsid w:val="0048309F"/>
    <w:rsid w:val="00483354"/>
    <w:rsid w:val="00490683"/>
    <w:rsid w:val="0049200A"/>
    <w:rsid w:val="00492A9B"/>
    <w:rsid w:val="00492F3E"/>
    <w:rsid w:val="00495439"/>
    <w:rsid w:val="0049658C"/>
    <w:rsid w:val="004A5DD4"/>
    <w:rsid w:val="004A6FE1"/>
    <w:rsid w:val="004A7502"/>
    <w:rsid w:val="004A7DFE"/>
    <w:rsid w:val="004B0CAB"/>
    <w:rsid w:val="004B24A5"/>
    <w:rsid w:val="004B6A3B"/>
    <w:rsid w:val="004C5BD9"/>
    <w:rsid w:val="004C692A"/>
    <w:rsid w:val="004C70AD"/>
    <w:rsid w:val="004D18BC"/>
    <w:rsid w:val="004D54A7"/>
    <w:rsid w:val="004E040E"/>
    <w:rsid w:val="004E09E5"/>
    <w:rsid w:val="004E506B"/>
    <w:rsid w:val="004F036A"/>
    <w:rsid w:val="004F1E4D"/>
    <w:rsid w:val="004F2850"/>
    <w:rsid w:val="004F43CB"/>
    <w:rsid w:val="004F5A72"/>
    <w:rsid w:val="004F5D0C"/>
    <w:rsid w:val="00503CCD"/>
    <w:rsid w:val="00504308"/>
    <w:rsid w:val="005045C0"/>
    <w:rsid w:val="00504912"/>
    <w:rsid w:val="005061E6"/>
    <w:rsid w:val="00507B6D"/>
    <w:rsid w:val="00510742"/>
    <w:rsid w:val="00510D34"/>
    <w:rsid w:val="0051184A"/>
    <w:rsid w:val="00513258"/>
    <w:rsid w:val="00513A84"/>
    <w:rsid w:val="00514EC7"/>
    <w:rsid w:val="0051753D"/>
    <w:rsid w:val="00517809"/>
    <w:rsid w:val="00520255"/>
    <w:rsid w:val="00520D1B"/>
    <w:rsid w:val="00520FF5"/>
    <w:rsid w:val="00526D9B"/>
    <w:rsid w:val="00530508"/>
    <w:rsid w:val="005329F1"/>
    <w:rsid w:val="00533EEC"/>
    <w:rsid w:val="005364C6"/>
    <w:rsid w:val="00537505"/>
    <w:rsid w:val="005376AA"/>
    <w:rsid w:val="00537AA8"/>
    <w:rsid w:val="00537CB0"/>
    <w:rsid w:val="00541032"/>
    <w:rsid w:val="0054174D"/>
    <w:rsid w:val="00543612"/>
    <w:rsid w:val="00544332"/>
    <w:rsid w:val="00546402"/>
    <w:rsid w:val="00547ABA"/>
    <w:rsid w:val="00550784"/>
    <w:rsid w:val="0055233F"/>
    <w:rsid w:val="005534B7"/>
    <w:rsid w:val="005620E2"/>
    <w:rsid w:val="005674C8"/>
    <w:rsid w:val="00567BDE"/>
    <w:rsid w:val="005719C8"/>
    <w:rsid w:val="00574441"/>
    <w:rsid w:val="0057469D"/>
    <w:rsid w:val="005750AA"/>
    <w:rsid w:val="005756CD"/>
    <w:rsid w:val="00580A3E"/>
    <w:rsid w:val="00581293"/>
    <w:rsid w:val="0058241C"/>
    <w:rsid w:val="005838B9"/>
    <w:rsid w:val="0058519A"/>
    <w:rsid w:val="00595B29"/>
    <w:rsid w:val="00596B4F"/>
    <w:rsid w:val="005A0B57"/>
    <w:rsid w:val="005A1329"/>
    <w:rsid w:val="005A1797"/>
    <w:rsid w:val="005A48FB"/>
    <w:rsid w:val="005A5B4A"/>
    <w:rsid w:val="005A7A66"/>
    <w:rsid w:val="005B0466"/>
    <w:rsid w:val="005B3463"/>
    <w:rsid w:val="005B3685"/>
    <w:rsid w:val="005B44CD"/>
    <w:rsid w:val="005B653A"/>
    <w:rsid w:val="005C0760"/>
    <w:rsid w:val="005C22BC"/>
    <w:rsid w:val="005C2927"/>
    <w:rsid w:val="005C3926"/>
    <w:rsid w:val="005C4FAC"/>
    <w:rsid w:val="005C59C5"/>
    <w:rsid w:val="005C6004"/>
    <w:rsid w:val="005C73CF"/>
    <w:rsid w:val="005D0ECE"/>
    <w:rsid w:val="005D132F"/>
    <w:rsid w:val="005D2922"/>
    <w:rsid w:val="005D5210"/>
    <w:rsid w:val="005D5457"/>
    <w:rsid w:val="005E15B8"/>
    <w:rsid w:val="005E3BCC"/>
    <w:rsid w:val="005E47DE"/>
    <w:rsid w:val="005E537D"/>
    <w:rsid w:val="005E7E05"/>
    <w:rsid w:val="005F177A"/>
    <w:rsid w:val="005F2A04"/>
    <w:rsid w:val="005F5B3A"/>
    <w:rsid w:val="005F741D"/>
    <w:rsid w:val="00601A29"/>
    <w:rsid w:val="006046D1"/>
    <w:rsid w:val="00607F9F"/>
    <w:rsid w:val="00610A0D"/>
    <w:rsid w:val="00611E39"/>
    <w:rsid w:val="006200C2"/>
    <w:rsid w:val="00622270"/>
    <w:rsid w:val="006228BB"/>
    <w:rsid w:val="00623092"/>
    <w:rsid w:val="006233BE"/>
    <w:rsid w:val="006234EE"/>
    <w:rsid w:val="00626875"/>
    <w:rsid w:val="00630D8E"/>
    <w:rsid w:val="0063215C"/>
    <w:rsid w:val="0063347D"/>
    <w:rsid w:val="006337B4"/>
    <w:rsid w:val="00633D83"/>
    <w:rsid w:val="0063657A"/>
    <w:rsid w:val="00636B8E"/>
    <w:rsid w:val="00636BE5"/>
    <w:rsid w:val="006374BE"/>
    <w:rsid w:val="00640677"/>
    <w:rsid w:val="0064211A"/>
    <w:rsid w:val="00644753"/>
    <w:rsid w:val="00644CF9"/>
    <w:rsid w:val="006465EC"/>
    <w:rsid w:val="00646CCE"/>
    <w:rsid w:val="006524F7"/>
    <w:rsid w:val="006532A3"/>
    <w:rsid w:val="00653871"/>
    <w:rsid w:val="00655F5E"/>
    <w:rsid w:val="00657085"/>
    <w:rsid w:val="006610EB"/>
    <w:rsid w:val="00662B0B"/>
    <w:rsid w:val="0066649C"/>
    <w:rsid w:val="00666DF9"/>
    <w:rsid w:val="00670A09"/>
    <w:rsid w:val="00677E67"/>
    <w:rsid w:val="00677F34"/>
    <w:rsid w:val="006804FF"/>
    <w:rsid w:val="00681209"/>
    <w:rsid w:val="00683D2E"/>
    <w:rsid w:val="00684923"/>
    <w:rsid w:val="00686A53"/>
    <w:rsid w:val="00695687"/>
    <w:rsid w:val="00695C51"/>
    <w:rsid w:val="006A02AD"/>
    <w:rsid w:val="006A11A5"/>
    <w:rsid w:val="006A365E"/>
    <w:rsid w:val="006A3D52"/>
    <w:rsid w:val="006A77F3"/>
    <w:rsid w:val="006B1653"/>
    <w:rsid w:val="006B193A"/>
    <w:rsid w:val="006B268C"/>
    <w:rsid w:val="006B5FDD"/>
    <w:rsid w:val="006B6E95"/>
    <w:rsid w:val="006C073A"/>
    <w:rsid w:val="006C672F"/>
    <w:rsid w:val="006D3CF2"/>
    <w:rsid w:val="006D3FDD"/>
    <w:rsid w:val="006D6E18"/>
    <w:rsid w:val="006D7BBE"/>
    <w:rsid w:val="006E2F87"/>
    <w:rsid w:val="006E3B19"/>
    <w:rsid w:val="006E47A3"/>
    <w:rsid w:val="006E549A"/>
    <w:rsid w:val="006E71AC"/>
    <w:rsid w:val="006F0719"/>
    <w:rsid w:val="006F12FF"/>
    <w:rsid w:val="006F337E"/>
    <w:rsid w:val="006F36BB"/>
    <w:rsid w:val="006F3806"/>
    <w:rsid w:val="006F3C48"/>
    <w:rsid w:val="006F48EA"/>
    <w:rsid w:val="006F5632"/>
    <w:rsid w:val="006F647A"/>
    <w:rsid w:val="006F68C6"/>
    <w:rsid w:val="006F704D"/>
    <w:rsid w:val="006F762E"/>
    <w:rsid w:val="006F770C"/>
    <w:rsid w:val="00703581"/>
    <w:rsid w:val="00705251"/>
    <w:rsid w:val="0071020A"/>
    <w:rsid w:val="00711F1C"/>
    <w:rsid w:val="0071676F"/>
    <w:rsid w:val="00716925"/>
    <w:rsid w:val="007172E8"/>
    <w:rsid w:val="00720082"/>
    <w:rsid w:val="007215C1"/>
    <w:rsid w:val="00721962"/>
    <w:rsid w:val="0072324B"/>
    <w:rsid w:val="0072503D"/>
    <w:rsid w:val="007278D2"/>
    <w:rsid w:val="0073115F"/>
    <w:rsid w:val="00734A49"/>
    <w:rsid w:val="00734BCA"/>
    <w:rsid w:val="00736668"/>
    <w:rsid w:val="007409A3"/>
    <w:rsid w:val="007419BC"/>
    <w:rsid w:val="00742418"/>
    <w:rsid w:val="00750157"/>
    <w:rsid w:val="007507EC"/>
    <w:rsid w:val="007512E6"/>
    <w:rsid w:val="00751902"/>
    <w:rsid w:val="00752C1C"/>
    <w:rsid w:val="0075535C"/>
    <w:rsid w:val="007572CD"/>
    <w:rsid w:val="007579DB"/>
    <w:rsid w:val="00757B91"/>
    <w:rsid w:val="0076110D"/>
    <w:rsid w:val="00761567"/>
    <w:rsid w:val="00762AAD"/>
    <w:rsid w:val="007630B9"/>
    <w:rsid w:val="00766CDD"/>
    <w:rsid w:val="007708C4"/>
    <w:rsid w:val="00771148"/>
    <w:rsid w:val="0077380E"/>
    <w:rsid w:val="00780154"/>
    <w:rsid w:val="0078670C"/>
    <w:rsid w:val="00791898"/>
    <w:rsid w:val="00795180"/>
    <w:rsid w:val="00795B11"/>
    <w:rsid w:val="00795F37"/>
    <w:rsid w:val="007A1DBD"/>
    <w:rsid w:val="007A3BBF"/>
    <w:rsid w:val="007A41D2"/>
    <w:rsid w:val="007A44D4"/>
    <w:rsid w:val="007A49B1"/>
    <w:rsid w:val="007B1A1A"/>
    <w:rsid w:val="007B3691"/>
    <w:rsid w:val="007B5CD8"/>
    <w:rsid w:val="007B678A"/>
    <w:rsid w:val="007C1F1D"/>
    <w:rsid w:val="007C1F5F"/>
    <w:rsid w:val="007D1C2D"/>
    <w:rsid w:val="007D3851"/>
    <w:rsid w:val="007D3C00"/>
    <w:rsid w:val="007D5956"/>
    <w:rsid w:val="007D5B5E"/>
    <w:rsid w:val="007D71F8"/>
    <w:rsid w:val="007D79E6"/>
    <w:rsid w:val="007E385C"/>
    <w:rsid w:val="007E3992"/>
    <w:rsid w:val="007E49EF"/>
    <w:rsid w:val="007E5067"/>
    <w:rsid w:val="007E5EAE"/>
    <w:rsid w:val="007E6FE9"/>
    <w:rsid w:val="007F024E"/>
    <w:rsid w:val="007F4592"/>
    <w:rsid w:val="007F6DF1"/>
    <w:rsid w:val="00802A5C"/>
    <w:rsid w:val="008040C3"/>
    <w:rsid w:val="00804980"/>
    <w:rsid w:val="00804C58"/>
    <w:rsid w:val="008058D1"/>
    <w:rsid w:val="00806FF6"/>
    <w:rsid w:val="00810373"/>
    <w:rsid w:val="00814354"/>
    <w:rsid w:val="008147D5"/>
    <w:rsid w:val="0081510B"/>
    <w:rsid w:val="00815E59"/>
    <w:rsid w:val="008168F4"/>
    <w:rsid w:val="0081780B"/>
    <w:rsid w:val="00817A25"/>
    <w:rsid w:val="0082531E"/>
    <w:rsid w:val="008261EE"/>
    <w:rsid w:val="00826D4A"/>
    <w:rsid w:val="00830566"/>
    <w:rsid w:val="008315E3"/>
    <w:rsid w:val="00831BF6"/>
    <w:rsid w:val="0083264E"/>
    <w:rsid w:val="0083303D"/>
    <w:rsid w:val="0083469A"/>
    <w:rsid w:val="00835A51"/>
    <w:rsid w:val="00840425"/>
    <w:rsid w:val="0084095C"/>
    <w:rsid w:val="008450BC"/>
    <w:rsid w:val="008474EF"/>
    <w:rsid w:val="0084753E"/>
    <w:rsid w:val="00847BED"/>
    <w:rsid w:val="00850CF2"/>
    <w:rsid w:val="00856543"/>
    <w:rsid w:val="00857501"/>
    <w:rsid w:val="0086077B"/>
    <w:rsid w:val="00864976"/>
    <w:rsid w:val="0086503F"/>
    <w:rsid w:val="0087000B"/>
    <w:rsid w:val="00871604"/>
    <w:rsid w:val="00871AC2"/>
    <w:rsid w:val="00871AE6"/>
    <w:rsid w:val="008720EB"/>
    <w:rsid w:val="008749D6"/>
    <w:rsid w:val="00875DEE"/>
    <w:rsid w:val="00876B53"/>
    <w:rsid w:val="008836F8"/>
    <w:rsid w:val="00883CC3"/>
    <w:rsid w:val="008877AA"/>
    <w:rsid w:val="00894085"/>
    <w:rsid w:val="0089438E"/>
    <w:rsid w:val="008A293D"/>
    <w:rsid w:val="008A43D7"/>
    <w:rsid w:val="008B0E81"/>
    <w:rsid w:val="008B179D"/>
    <w:rsid w:val="008B23F2"/>
    <w:rsid w:val="008B7E7B"/>
    <w:rsid w:val="008C2752"/>
    <w:rsid w:val="008C4F9A"/>
    <w:rsid w:val="008C58A0"/>
    <w:rsid w:val="008C6C99"/>
    <w:rsid w:val="008C7541"/>
    <w:rsid w:val="008D0BE3"/>
    <w:rsid w:val="008D0E00"/>
    <w:rsid w:val="008D24FD"/>
    <w:rsid w:val="008D3733"/>
    <w:rsid w:val="008D67D0"/>
    <w:rsid w:val="008D76F2"/>
    <w:rsid w:val="008E334C"/>
    <w:rsid w:val="008E360E"/>
    <w:rsid w:val="008E6226"/>
    <w:rsid w:val="008E74BB"/>
    <w:rsid w:val="008F516E"/>
    <w:rsid w:val="008F59D0"/>
    <w:rsid w:val="008F6065"/>
    <w:rsid w:val="008F6498"/>
    <w:rsid w:val="0090082B"/>
    <w:rsid w:val="00904538"/>
    <w:rsid w:val="009046C4"/>
    <w:rsid w:val="0090573B"/>
    <w:rsid w:val="00920DF2"/>
    <w:rsid w:val="00924E35"/>
    <w:rsid w:val="009262A8"/>
    <w:rsid w:val="00926BAF"/>
    <w:rsid w:val="00931447"/>
    <w:rsid w:val="009328B4"/>
    <w:rsid w:val="00934153"/>
    <w:rsid w:val="00941AE1"/>
    <w:rsid w:val="009424CE"/>
    <w:rsid w:val="00944A53"/>
    <w:rsid w:val="00950DB8"/>
    <w:rsid w:val="00951936"/>
    <w:rsid w:val="00953F7B"/>
    <w:rsid w:val="00954A15"/>
    <w:rsid w:val="00956A94"/>
    <w:rsid w:val="0095767B"/>
    <w:rsid w:val="009605A3"/>
    <w:rsid w:val="009618A6"/>
    <w:rsid w:val="00963E52"/>
    <w:rsid w:val="009656E2"/>
    <w:rsid w:val="00970947"/>
    <w:rsid w:val="009735D5"/>
    <w:rsid w:val="00976D8F"/>
    <w:rsid w:val="00980CD2"/>
    <w:rsid w:val="00982155"/>
    <w:rsid w:val="00986829"/>
    <w:rsid w:val="0098698A"/>
    <w:rsid w:val="009872B5"/>
    <w:rsid w:val="00987C36"/>
    <w:rsid w:val="00987C4C"/>
    <w:rsid w:val="00997D42"/>
    <w:rsid w:val="009A1147"/>
    <w:rsid w:val="009A123E"/>
    <w:rsid w:val="009A1958"/>
    <w:rsid w:val="009A1D5D"/>
    <w:rsid w:val="009A2956"/>
    <w:rsid w:val="009A2F11"/>
    <w:rsid w:val="009A3803"/>
    <w:rsid w:val="009A43AF"/>
    <w:rsid w:val="009A5E6F"/>
    <w:rsid w:val="009A6A30"/>
    <w:rsid w:val="009B32C6"/>
    <w:rsid w:val="009B3DE9"/>
    <w:rsid w:val="009B41F9"/>
    <w:rsid w:val="009B468A"/>
    <w:rsid w:val="009B68A1"/>
    <w:rsid w:val="009C001A"/>
    <w:rsid w:val="009C18C6"/>
    <w:rsid w:val="009C1B3D"/>
    <w:rsid w:val="009C2761"/>
    <w:rsid w:val="009C2E60"/>
    <w:rsid w:val="009C42A9"/>
    <w:rsid w:val="009C4B8B"/>
    <w:rsid w:val="009D295F"/>
    <w:rsid w:val="009D2AA8"/>
    <w:rsid w:val="009D39F7"/>
    <w:rsid w:val="009D438A"/>
    <w:rsid w:val="009E2609"/>
    <w:rsid w:val="009E2667"/>
    <w:rsid w:val="009E42A9"/>
    <w:rsid w:val="009E4377"/>
    <w:rsid w:val="009E565B"/>
    <w:rsid w:val="009E6B53"/>
    <w:rsid w:val="009E7599"/>
    <w:rsid w:val="009E7A67"/>
    <w:rsid w:val="009F161C"/>
    <w:rsid w:val="009F428C"/>
    <w:rsid w:val="009F61FA"/>
    <w:rsid w:val="009F6947"/>
    <w:rsid w:val="009F6A41"/>
    <w:rsid w:val="009F7ACD"/>
    <w:rsid w:val="009F7EFF"/>
    <w:rsid w:val="00A01F07"/>
    <w:rsid w:val="00A03FEA"/>
    <w:rsid w:val="00A044D5"/>
    <w:rsid w:val="00A0497A"/>
    <w:rsid w:val="00A069D3"/>
    <w:rsid w:val="00A10947"/>
    <w:rsid w:val="00A16382"/>
    <w:rsid w:val="00A1676B"/>
    <w:rsid w:val="00A17662"/>
    <w:rsid w:val="00A201E2"/>
    <w:rsid w:val="00A242D4"/>
    <w:rsid w:val="00A2571C"/>
    <w:rsid w:val="00A27E7F"/>
    <w:rsid w:val="00A32017"/>
    <w:rsid w:val="00A359AE"/>
    <w:rsid w:val="00A37767"/>
    <w:rsid w:val="00A4092E"/>
    <w:rsid w:val="00A40F7B"/>
    <w:rsid w:val="00A4130F"/>
    <w:rsid w:val="00A41B97"/>
    <w:rsid w:val="00A442D6"/>
    <w:rsid w:val="00A51534"/>
    <w:rsid w:val="00A52440"/>
    <w:rsid w:val="00A558E7"/>
    <w:rsid w:val="00A55ED2"/>
    <w:rsid w:val="00A61570"/>
    <w:rsid w:val="00A63DDF"/>
    <w:rsid w:val="00A64912"/>
    <w:rsid w:val="00A65B68"/>
    <w:rsid w:val="00A66FCC"/>
    <w:rsid w:val="00A67366"/>
    <w:rsid w:val="00A70B7F"/>
    <w:rsid w:val="00A717A5"/>
    <w:rsid w:val="00A71C30"/>
    <w:rsid w:val="00A72AC4"/>
    <w:rsid w:val="00A76821"/>
    <w:rsid w:val="00A76CEE"/>
    <w:rsid w:val="00A851FF"/>
    <w:rsid w:val="00A914D4"/>
    <w:rsid w:val="00A94313"/>
    <w:rsid w:val="00A948D7"/>
    <w:rsid w:val="00A94C98"/>
    <w:rsid w:val="00A9553C"/>
    <w:rsid w:val="00A95D19"/>
    <w:rsid w:val="00AA15F5"/>
    <w:rsid w:val="00AA2129"/>
    <w:rsid w:val="00AB486C"/>
    <w:rsid w:val="00AC04F0"/>
    <w:rsid w:val="00AC2D06"/>
    <w:rsid w:val="00AC2F62"/>
    <w:rsid w:val="00AC45C7"/>
    <w:rsid w:val="00AC56AF"/>
    <w:rsid w:val="00AC650F"/>
    <w:rsid w:val="00AD1CF0"/>
    <w:rsid w:val="00AD628B"/>
    <w:rsid w:val="00AD6343"/>
    <w:rsid w:val="00AD66A5"/>
    <w:rsid w:val="00AE02FB"/>
    <w:rsid w:val="00AE2429"/>
    <w:rsid w:val="00AE4F6C"/>
    <w:rsid w:val="00AE5014"/>
    <w:rsid w:val="00AE6176"/>
    <w:rsid w:val="00AE6403"/>
    <w:rsid w:val="00AE653F"/>
    <w:rsid w:val="00AF3409"/>
    <w:rsid w:val="00AF5780"/>
    <w:rsid w:val="00B04964"/>
    <w:rsid w:val="00B057A6"/>
    <w:rsid w:val="00B05E75"/>
    <w:rsid w:val="00B0695D"/>
    <w:rsid w:val="00B116F0"/>
    <w:rsid w:val="00B11B81"/>
    <w:rsid w:val="00B12600"/>
    <w:rsid w:val="00B13157"/>
    <w:rsid w:val="00B15269"/>
    <w:rsid w:val="00B15BFB"/>
    <w:rsid w:val="00B16BCA"/>
    <w:rsid w:val="00B210AA"/>
    <w:rsid w:val="00B21647"/>
    <w:rsid w:val="00B23275"/>
    <w:rsid w:val="00B25308"/>
    <w:rsid w:val="00B254F7"/>
    <w:rsid w:val="00B26D14"/>
    <w:rsid w:val="00B31006"/>
    <w:rsid w:val="00B33244"/>
    <w:rsid w:val="00B34F42"/>
    <w:rsid w:val="00B37361"/>
    <w:rsid w:val="00B46881"/>
    <w:rsid w:val="00B47E50"/>
    <w:rsid w:val="00B5078D"/>
    <w:rsid w:val="00B525D3"/>
    <w:rsid w:val="00B54537"/>
    <w:rsid w:val="00B54C94"/>
    <w:rsid w:val="00B554C4"/>
    <w:rsid w:val="00B557A9"/>
    <w:rsid w:val="00B57544"/>
    <w:rsid w:val="00B57564"/>
    <w:rsid w:val="00B603BC"/>
    <w:rsid w:val="00B6275A"/>
    <w:rsid w:val="00B628AB"/>
    <w:rsid w:val="00B628B7"/>
    <w:rsid w:val="00B638FF"/>
    <w:rsid w:val="00B63D2E"/>
    <w:rsid w:val="00B63DA8"/>
    <w:rsid w:val="00B66064"/>
    <w:rsid w:val="00B66573"/>
    <w:rsid w:val="00B70173"/>
    <w:rsid w:val="00B72452"/>
    <w:rsid w:val="00B72AB8"/>
    <w:rsid w:val="00B758F7"/>
    <w:rsid w:val="00B839AD"/>
    <w:rsid w:val="00B83B8A"/>
    <w:rsid w:val="00B86C29"/>
    <w:rsid w:val="00B92940"/>
    <w:rsid w:val="00B9504F"/>
    <w:rsid w:val="00B95669"/>
    <w:rsid w:val="00B9707C"/>
    <w:rsid w:val="00BA1514"/>
    <w:rsid w:val="00BA491A"/>
    <w:rsid w:val="00BA4B5B"/>
    <w:rsid w:val="00BB13AF"/>
    <w:rsid w:val="00BB17BE"/>
    <w:rsid w:val="00BB4973"/>
    <w:rsid w:val="00BB5226"/>
    <w:rsid w:val="00BB7264"/>
    <w:rsid w:val="00BC0867"/>
    <w:rsid w:val="00BC1E4B"/>
    <w:rsid w:val="00BC4509"/>
    <w:rsid w:val="00BC4A65"/>
    <w:rsid w:val="00BC6BDF"/>
    <w:rsid w:val="00BD1C72"/>
    <w:rsid w:val="00BD297C"/>
    <w:rsid w:val="00BD390E"/>
    <w:rsid w:val="00BD3F3E"/>
    <w:rsid w:val="00BD446C"/>
    <w:rsid w:val="00BD659D"/>
    <w:rsid w:val="00BE0B22"/>
    <w:rsid w:val="00BE0B45"/>
    <w:rsid w:val="00BE242B"/>
    <w:rsid w:val="00BE3E93"/>
    <w:rsid w:val="00BE514C"/>
    <w:rsid w:val="00BE7FBE"/>
    <w:rsid w:val="00BF09DD"/>
    <w:rsid w:val="00BF1357"/>
    <w:rsid w:val="00BF1EBB"/>
    <w:rsid w:val="00BF2874"/>
    <w:rsid w:val="00BF290B"/>
    <w:rsid w:val="00BF57EC"/>
    <w:rsid w:val="00BF5E9F"/>
    <w:rsid w:val="00C0397E"/>
    <w:rsid w:val="00C04BD8"/>
    <w:rsid w:val="00C053A3"/>
    <w:rsid w:val="00C05A39"/>
    <w:rsid w:val="00C0628C"/>
    <w:rsid w:val="00C07323"/>
    <w:rsid w:val="00C10D3C"/>
    <w:rsid w:val="00C12412"/>
    <w:rsid w:val="00C138BF"/>
    <w:rsid w:val="00C165B0"/>
    <w:rsid w:val="00C16603"/>
    <w:rsid w:val="00C17D5E"/>
    <w:rsid w:val="00C228FA"/>
    <w:rsid w:val="00C2358B"/>
    <w:rsid w:val="00C25FD9"/>
    <w:rsid w:val="00C271F2"/>
    <w:rsid w:val="00C27546"/>
    <w:rsid w:val="00C27F34"/>
    <w:rsid w:val="00C305C4"/>
    <w:rsid w:val="00C311A7"/>
    <w:rsid w:val="00C33E0F"/>
    <w:rsid w:val="00C34DF7"/>
    <w:rsid w:val="00C35BFE"/>
    <w:rsid w:val="00C36D35"/>
    <w:rsid w:val="00C37844"/>
    <w:rsid w:val="00C408FB"/>
    <w:rsid w:val="00C40A18"/>
    <w:rsid w:val="00C40C73"/>
    <w:rsid w:val="00C4190E"/>
    <w:rsid w:val="00C435D9"/>
    <w:rsid w:val="00C43F9C"/>
    <w:rsid w:val="00C43FB1"/>
    <w:rsid w:val="00C443B4"/>
    <w:rsid w:val="00C446C5"/>
    <w:rsid w:val="00C4488B"/>
    <w:rsid w:val="00C50A2F"/>
    <w:rsid w:val="00C50AB7"/>
    <w:rsid w:val="00C50D55"/>
    <w:rsid w:val="00C55FC2"/>
    <w:rsid w:val="00C615E2"/>
    <w:rsid w:val="00C6461E"/>
    <w:rsid w:val="00C648FA"/>
    <w:rsid w:val="00C676F7"/>
    <w:rsid w:val="00C678BC"/>
    <w:rsid w:val="00C7005A"/>
    <w:rsid w:val="00C73262"/>
    <w:rsid w:val="00C743B9"/>
    <w:rsid w:val="00C749CC"/>
    <w:rsid w:val="00C75BB7"/>
    <w:rsid w:val="00C75F7B"/>
    <w:rsid w:val="00C77DA9"/>
    <w:rsid w:val="00C81F63"/>
    <w:rsid w:val="00C8458A"/>
    <w:rsid w:val="00C84E6A"/>
    <w:rsid w:val="00C86419"/>
    <w:rsid w:val="00C91F36"/>
    <w:rsid w:val="00C92CFF"/>
    <w:rsid w:val="00C92ED7"/>
    <w:rsid w:val="00C9324B"/>
    <w:rsid w:val="00C9360E"/>
    <w:rsid w:val="00CA0435"/>
    <w:rsid w:val="00CA0992"/>
    <w:rsid w:val="00CA0FB0"/>
    <w:rsid w:val="00CA15A0"/>
    <w:rsid w:val="00CA1946"/>
    <w:rsid w:val="00CA2EAE"/>
    <w:rsid w:val="00CA40C0"/>
    <w:rsid w:val="00CA40F7"/>
    <w:rsid w:val="00CB4817"/>
    <w:rsid w:val="00CB4E36"/>
    <w:rsid w:val="00CB5501"/>
    <w:rsid w:val="00CC36F8"/>
    <w:rsid w:val="00CC53FF"/>
    <w:rsid w:val="00CC6D68"/>
    <w:rsid w:val="00CD015F"/>
    <w:rsid w:val="00CD043D"/>
    <w:rsid w:val="00CD0456"/>
    <w:rsid w:val="00CD14DD"/>
    <w:rsid w:val="00CD58C9"/>
    <w:rsid w:val="00CF0824"/>
    <w:rsid w:val="00CF1391"/>
    <w:rsid w:val="00CF23AA"/>
    <w:rsid w:val="00CF58E8"/>
    <w:rsid w:val="00CF61D7"/>
    <w:rsid w:val="00CF6E1A"/>
    <w:rsid w:val="00D00129"/>
    <w:rsid w:val="00D028DF"/>
    <w:rsid w:val="00D048A9"/>
    <w:rsid w:val="00D0498D"/>
    <w:rsid w:val="00D05333"/>
    <w:rsid w:val="00D057D2"/>
    <w:rsid w:val="00D101D3"/>
    <w:rsid w:val="00D101E4"/>
    <w:rsid w:val="00D103AA"/>
    <w:rsid w:val="00D13BFE"/>
    <w:rsid w:val="00D152EC"/>
    <w:rsid w:val="00D2138F"/>
    <w:rsid w:val="00D23BD9"/>
    <w:rsid w:val="00D23E18"/>
    <w:rsid w:val="00D2551C"/>
    <w:rsid w:val="00D31D43"/>
    <w:rsid w:val="00D31DA4"/>
    <w:rsid w:val="00D32311"/>
    <w:rsid w:val="00D3506B"/>
    <w:rsid w:val="00D3539D"/>
    <w:rsid w:val="00D37EF1"/>
    <w:rsid w:val="00D40473"/>
    <w:rsid w:val="00D43113"/>
    <w:rsid w:val="00D435E9"/>
    <w:rsid w:val="00D4613C"/>
    <w:rsid w:val="00D47282"/>
    <w:rsid w:val="00D57642"/>
    <w:rsid w:val="00D64703"/>
    <w:rsid w:val="00D70E34"/>
    <w:rsid w:val="00D71120"/>
    <w:rsid w:val="00D71B2D"/>
    <w:rsid w:val="00D740B3"/>
    <w:rsid w:val="00D752F6"/>
    <w:rsid w:val="00D76E1C"/>
    <w:rsid w:val="00D77034"/>
    <w:rsid w:val="00D80683"/>
    <w:rsid w:val="00D829A1"/>
    <w:rsid w:val="00D852CE"/>
    <w:rsid w:val="00D874EC"/>
    <w:rsid w:val="00D90801"/>
    <w:rsid w:val="00D91EE1"/>
    <w:rsid w:val="00D925D7"/>
    <w:rsid w:val="00D92E67"/>
    <w:rsid w:val="00D9345A"/>
    <w:rsid w:val="00D95060"/>
    <w:rsid w:val="00D95C4F"/>
    <w:rsid w:val="00D96E68"/>
    <w:rsid w:val="00DA1443"/>
    <w:rsid w:val="00DA26CD"/>
    <w:rsid w:val="00DA2A8F"/>
    <w:rsid w:val="00DA2AEC"/>
    <w:rsid w:val="00DA2CF0"/>
    <w:rsid w:val="00DA3ED0"/>
    <w:rsid w:val="00DA5C7B"/>
    <w:rsid w:val="00DA6422"/>
    <w:rsid w:val="00DA6BFE"/>
    <w:rsid w:val="00DB0DA6"/>
    <w:rsid w:val="00DB2AA5"/>
    <w:rsid w:val="00DB4326"/>
    <w:rsid w:val="00DB4CE7"/>
    <w:rsid w:val="00DC1608"/>
    <w:rsid w:val="00DC6BCF"/>
    <w:rsid w:val="00DC6DFD"/>
    <w:rsid w:val="00DC73CE"/>
    <w:rsid w:val="00DC7F29"/>
    <w:rsid w:val="00DD1AA0"/>
    <w:rsid w:val="00DD394C"/>
    <w:rsid w:val="00DD56DD"/>
    <w:rsid w:val="00DD74B8"/>
    <w:rsid w:val="00DE0804"/>
    <w:rsid w:val="00DE36F5"/>
    <w:rsid w:val="00DF33B7"/>
    <w:rsid w:val="00DF7A47"/>
    <w:rsid w:val="00E005EA"/>
    <w:rsid w:val="00E03F6C"/>
    <w:rsid w:val="00E0420C"/>
    <w:rsid w:val="00E04BDC"/>
    <w:rsid w:val="00E056A0"/>
    <w:rsid w:val="00E21245"/>
    <w:rsid w:val="00E271DB"/>
    <w:rsid w:val="00E35167"/>
    <w:rsid w:val="00E35284"/>
    <w:rsid w:val="00E407A1"/>
    <w:rsid w:val="00E409ED"/>
    <w:rsid w:val="00E4771B"/>
    <w:rsid w:val="00E47C27"/>
    <w:rsid w:val="00E5031A"/>
    <w:rsid w:val="00E53996"/>
    <w:rsid w:val="00E5487D"/>
    <w:rsid w:val="00E55174"/>
    <w:rsid w:val="00E55F51"/>
    <w:rsid w:val="00E564B1"/>
    <w:rsid w:val="00E615A7"/>
    <w:rsid w:val="00E627A7"/>
    <w:rsid w:val="00E659D1"/>
    <w:rsid w:val="00E6763C"/>
    <w:rsid w:val="00E702B8"/>
    <w:rsid w:val="00E70389"/>
    <w:rsid w:val="00E70960"/>
    <w:rsid w:val="00E74CBE"/>
    <w:rsid w:val="00E80BA7"/>
    <w:rsid w:val="00E81DDC"/>
    <w:rsid w:val="00E822E5"/>
    <w:rsid w:val="00E92A93"/>
    <w:rsid w:val="00E960C0"/>
    <w:rsid w:val="00E963F2"/>
    <w:rsid w:val="00E97A67"/>
    <w:rsid w:val="00E97AA8"/>
    <w:rsid w:val="00E97F7A"/>
    <w:rsid w:val="00EA020C"/>
    <w:rsid w:val="00EA1599"/>
    <w:rsid w:val="00EA4CAE"/>
    <w:rsid w:val="00EB2F7F"/>
    <w:rsid w:val="00EC5DA4"/>
    <w:rsid w:val="00EC6A0B"/>
    <w:rsid w:val="00ED0019"/>
    <w:rsid w:val="00ED0973"/>
    <w:rsid w:val="00ED0E55"/>
    <w:rsid w:val="00ED4841"/>
    <w:rsid w:val="00ED4A58"/>
    <w:rsid w:val="00ED581F"/>
    <w:rsid w:val="00ED6EC2"/>
    <w:rsid w:val="00ED74C1"/>
    <w:rsid w:val="00EE2053"/>
    <w:rsid w:val="00EE2350"/>
    <w:rsid w:val="00EE2991"/>
    <w:rsid w:val="00EE459B"/>
    <w:rsid w:val="00EE4ED2"/>
    <w:rsid w:val="00EE687F"/>
    <w:rsid w:val="00EE6B97"/>
    <w:rsid w:val="00EF02F2"/>
    <w:rsid w:val="00EF0F3D"/>
    <w:rsid w:val="00EF13E3"/>
    <w:rsid w:val="00EF4EE6"/>
    <w:rsid w:val="00F015F3"/>
    <w:rsid w:val="00F02E81"/>
    <w:rsid w:val="00F04782"/>
    <w:rsid w:val="00F049E0"/>
    <w:rsid w:val="00F04BDE"/>
    <w:rsid w:val="00F054A4"/>
    <w:rsid w:val="00F05C77"/>
    <w:rsid w:val="00F07B0C"/>
    <w:rsid w:val="00F07FC1"/>
    <w:rsid w:val="00F11D03"/>
    <w:rsid w:val="00F128D8"/>
    <w:rsid w:val="00F12CA0"/>
    <w:rsid w:val="00F1689B"/>
    <w:rsid w:val="00F16F19"/>
    <w:rsid w:val="00F174D7"/>
    <w:rsid w:val="00F20717"/>
    <w:rsid w:val="00F23FE1"/>
    <w:rsid w:val="00F26DE9"/>
    <w:rsid w:val="00F2711D"/>
    <w:rsid w:val="00F30B38"/>
    <w:rsid w:val="00F31247"/>
    <w:rsid w:val="00F36B7B"/>
    <w:rsid w:val="00F40C51"/>
    <w:rsid w:val="00F52E55"/>
    <w:rsid w:val="00F546B7"/>
    <w:rsid w:val="00F54AC7"/>
    <w:rsid w:val="00F569F3"/>
    <w:rsid w:val="00F607A1"/>
    <w:rsid w:val="00F643A7"/>
    <w:rsid w:val="00F6483A"/>
    <w:rsid w:val="00F653A9"/>
    <w:rsid w:val="00F67764"/>
    <w:rsid w:val="00F67DAB"/>
    <w:rsid w:val="00F70522"/>
    <w:rsid w:val="00F72679"/>
    <w:rsid w:val="00F72C9E"/>
    <w:rsid w:val="00F73176"/>
    <w:rsid w:val="00F81070"/>
    <w:rsid w:val="00F844DF"/>
    <w:rsid w:val="00F860F6"/>
    <w:rsid w:val="00F8664F"/>
    <w:rsid w:val="00F8693E"/>
    <w:rsid w:val="00F906A0"/>
    <w:rsid w:val="00F920CD"/>
    <w:rsid w:val="00F97746"/>
    <w:rsid w:val="00FA0437"/>
    <w:rsid w:val="00FA0B0B"/>
    <w:rsid w:val="00FA1AB4"/>
    <w:rsid w:val="00FA4087"/>
    <w:rsid w:val="00FA5DE3"/>
    <w:rsid w:val="00FA79F5"/>
    <w:rsid w:val="00FB0346"/>
    <w:rsid w:val="00FB4E57"/>
    <w:rsid w:val="00FB6648"/>
    <w:rsid w:val="00FC00E9"/>
    <w:rsid w:val="00FC0C34"/>
    <w:rsid w:val="00FC13C1"/>
    <w:rsid w:val="00FC33EA"/>
    <w:rsid w:val="00FC4C07"/>
    <w:rsid w:val="00FD0B6A"/>
    <w:rsid w:val="00FD1F25"/>
    <w:rsid w:val="00FE15B3"/>
    <w:rsid w:val="00FE1814"/>
    <w:rsid w:val="00FE3A03"/>
    <w:rsid w:val="00FE5820"/>
    <w:rsid w:val="00FE6993"/>
    <w:rsid w:val="00FF363A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02B43"/>
  <w15:docId w15:val="{170C6C1C-C248-485F-BAF4-0D7889AC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0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4C2B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Head1"/>
    <w:next w:val="Normal"/>
    <w:link w:val="Heading2Char"/>
    <w:autoRedefine/>
    <w:uiPriority w:val="9"/>
    <w:unhideWhenUsed/>
    <w:qFormat/>
    <w:rsid w:val="008749D6"/>
    <w:pPr>
      <w:numPr>
        <w:ilvl w:val="1"/>
        <w:numId w:val="19"/>
      </w:numPr>
      <w:spacing w:before="0"/>
      <w:jc w:val="left"/>
      <w:outlineLvl w:val="1"/>
    </w:pPr>
    <w:rPr>
      <w:rFonts w:eastAsia="Times New Roman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A8F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6B53"/>
    <w:pPr>
      <w:numPr>
        <w:numId w:val="18"/>
      </w:numPr>
      <w:ind w:hanging="720"/>
      <w:outlineLvl w:val="3"/>
    </w:pPr>
    <w:rPr>
      <w:rFonts w:asciiTheme="majorHAnsi" w:hAnsiTheme="majorHAnsi"/>
      <w:b/>
      <w:noProof/>
      <w:color w:val="2E74B5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C6D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6D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C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68"/>
  </w:style>
  <w:style w:type="paragraph" w:styleId="Footer">
    <w:name w:val="footer"/>
    <w:basedOn w:val="Normal"/>
    <w:link w:val="FooterChar"/>
    <w:uiPriority w:val="99"/>
    <w:unhideWhenUsed/>
    <w:rsid w:val="00CC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68"/>
  </w:style>
  <w:style w:type="character" w:customStyle="1" w:styleId="Heading1Char">
    <w:name w:val="Heading 1 Char"/>
    <w:basedOn w:val="DefaultParagraphFont"/>
    <w:link w:val="Heading1"/>
    <w:uiPriority w:val="9"/>
    <w:rsid w:val="00084C2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2A8F"/>
    <w:pPr>
      <w:numPr>
        <w:numId w:val="0"/>
      </w:numPr>
      <w:ind w:left="360" w:hanging="360"/>
      <w:outlineLvl w:val="9"/>
    </w:pPr>
    <w:rPr>
      <w:rFonts w:asciiTheme="minorHAnsi" w:eastAsiaTheme="minorHAnsi" w:hAnsiTheme="minorHAnsi" w:cstheme="minorBidi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49D6"/>
    <w:rPr>
      <w:rFonts w:asciiTheme="majorHAnsi" w:eastAsia="Times New Roman" w:hAnsiTheme="majorHAnsi" w:cstheme="majorBidi"/>
      <w:b/>
      <w:bCs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9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2A8F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A2A8F"/>
    <w:pPr>
      <w:tabs>
        <w:tab w:val="left" w:pos="440"/>
        <w:tab w:val="right" w:leader="dot" w:pos="9016"/>
      </w:tabs>
      <w:spacing w:after="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A2A8F"/>
    <w:pPr>
      <w:spacing w:after="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27533C"/>
    <w:pPr>
      <w:spacing w:after="0" w:line="240" w:lineRule="auto"/>
      <w:ind w:left="442"/>
    </w:pPr>
  </w:style>
  <w:style w:type="character" w:styleId="Hyperlink">
    <w:name w:val="Hyperlink"/>
    <w:basedOn w:val="DefaultParagraphFont"/>
    <w:uiPriority w:val="99"/>
    <w:unhideWhenUsed/>
    <w:rsid w:val="00683D2E"/>
    <w:rPr>
      <w:color w:val="0563C1" w:themeColor="hyperlink"/>
      <w:u w:val="single"/>
    </w:rPr>
  </w:style>
  <w:style w:type="table" w:customStyle="1" w:styleId="TableGrid21">
    <w:name w:val="Table Grid21"/>
    <w:basedOn w:val="TableNormal"/>
    <w:next w:val="TableGrid"/>
    <w:uiPriority w:val="59"/>
    <w:rsid w:val="005824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8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5824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GridTable4-Accent51">
    <w:name w:val="Grid Table 4 - Accent 51"/>
    <w:basedOn w:val="TableNormal"/>
    <w:uiPriority w:val="49"/>
    <w:rsid w:val="002A2C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2A2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3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374BE"/>
  </w:style>
  <w:style w:type="character" w:customStyle="1" w:styleId="Heading4Char">
    <w:name w:val="Heading 4 Char"/>
    <w:basedOn w:val="DefaultParagraphFont"/>
    <w:link w:val="Heading4"/>
    <w:uiPriority w:val="9"/>
    <w:rsid w:val="009E6B53"/>
    <w:rPr>
      <w:rFonts w:asciiTheme="majorHAnsi" w:hAnsiTheme="majorHAnsi"/>
      <w:b/>
      <w:noProof/>
      <w:color w:val="2E74B5" w:themeColor="accent1" w:themeShade="BF"/>
      <w:lang w:eastAsia="en-AU"/>
    </w:rPr>
  </w:style>
  <w:style w:type="table" w:customStyle="1" w:styleId="ListTable5Dark-Accent51">
    <w:name w:val="List Table 5 Dark - Accent 51"/>
    <w:basedOn w:val="TableNormal"/>
    <w:uiPriority w:val="50"/>
    <w:rsid w:val="002920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3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774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1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1">
    <w:name w:val="Grid Table 4 - Accent 511"/>
    <w:basedOn w:val="TableNormal"/>
    <w:uiPriority w:val="49"/>
    <w:rsid w:val="00CB55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1">
    <w:name w:val="Grid Table 5 Dark - Accent 511"/>
    <w:basedOn w:val="TableNormal"/>
    <w:uiPriority w:val="50"/>
    <w:rsid w:val="007215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512">
    <w:name w:val="Grid Table 5 Dark - Accent 512"/>
    <w:basedOn w:val="TableNormal"/>
    <w:uiPriority w:val="50"/>
    <w:rsid w:val="007215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512">
    <w:name w:val="Grid Table 4 - Accent 512"/>
    <w:basedOn w:val="TableNormal"/>
    <w:uiPriority w:val="49"/>
    <w:rsid w:val="007215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3">
    <w:name w:val="Grid Table 4 - Accent 513"/>
    <w:basedOn w:val="TableNormal"/>
    <w:uiPriority w:val="49"/>
    <w:rsid w:val="003423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4558D9"/>
  </w:style>
  <w:style w:type="character" w:customStyle="1" w:styleId="BodyTextChar">
    <w:name w:val="Body Text Char"/>
    <w:basedOn w:val="DefaultParagraphFont"/>
    <w:link w:val="BodyText"/>
    <w:uiPriority w:val="99"/>
    <w:rsid w:val="004558D9"/>
  </w:style>
  <w:style w:type="paragraph" w:customStyle="1" w:styleId="Style1">
    <w:name w:val="Style1"/>
    <w:basedOn w:val="Heading2"/>
    <w:link w:val="Style1Char"/>
    <w:rsid w:val="008E6226"/>
    <w:pPr>
      <w:numPr>
        <w:numId w:val="17"/>
      </w:numPr>
    </w:pPr>
  </w:style>
  <w:style w:type="paragraph" w:customStyle="1" w:styleId="Head1">
    <w:name w:val="Head 1"/>
    <w:basedOn w:val="Heading1"/>
    <w:link w:val="Head1Char"/>
    <w:rsid w:val="008E6226"/>
    <w:pPr>
      <w:numPr>
        <w:numId w:val="16"/>
      </w:numPr>
    </w:pPr>
  </w:style>
  <w:style w:type="character" w:customStyle="1" w:styleId="Style1Char">
    <w:name w:val="Style1 Char"/>
    <w:basedOn w:val="Heading2Char"/>
    <w:link w:val="Style1"/>
    <w:rsid w:val="008E6226"/>
    <w:rPr>
      <w:rFonts w:asciiTheme="majorHAnsi" w:eastAsia="Times New Roman" w:hAnsiTheme="majorHAnsi" w:cstheme="majorBidi"/>
      <w:b/>
      <w:bCs/>
      <w:color w:val="2E74B5" w:themeColor="accent1" w:themeShade="BF"/>
      <w:sz w:val="26"/>
      <w:szCs w:val="26"/>
    </w:rPr>
  </w:style>
  <w:style w:type="paragraph" w:customStyle="1" w:styleId="Appendix">
    <w:name w:val="Appendix"/>
    <w:basedOn w:val="Heading1"/>
    <w:link w:val="AppendixChar"/>
    <w:qFormat/>
    <w:rsid w:val="00C81F63"/>
    <w:pPr>
      <w:numPr>
        <w:numId w:val="0"/>
      </w:numPr>
    </w:pPr>
  </w:style>
  <w:style w:type="character" w:customStyle="1" w:styleId="Head1Char">
    <w:name w:val="Head 1 Char"/>
    <w:basedOn w:val="Heading1Char"/>
    <w:link w:val="Head1"/>
    <w:rsid w:val="008E622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Subtitle">
    <w:name w:val="Subtitle"/>
    <w:basedOn w:val="Appendix"/>
    <w:next w:val="Normal"/>
    <w:link w:val="SubtitleChar"/>
    <w:uiPriority w:val="11"/>
    <w:qFormat/>
    <w:rsid w:val="00CA40C0"/>
    <w:rPr>
      <w:rFonts w:eastAsiaTheme="minorHAnsi"/>
    </w:rPr>
  </w:style>
  <w:style w:type="character" w:customStyle="1" w:styleId="AppendixChar">
    <w:name w:val="Appendix Char"/>
    <w:basedOn w:val="Heading1Char"/>
    <w:link w:val="Appendix"/>
    <w:rsid w:val="00C81F6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A40C0"/>
    <w:rPr>
      <w:rFonts w:asciiTheme="majorHAnsi" w:hAnsiTheme="majorHAnsi" w:cstheme="majorBidi"/>
      <w:b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DA2AEC"/>
    <w:pPr>
      <w:numPr>
        <w:numId w:val="20"/>
      </w:numPr>
      <w:contextualSpacing/>
    </w:pPr>
  </w:style>
  <w:style w:type="table" w:styleId="GridTable4-Accent1">
    <w:name w:val="Grid Table 4 Accent 1"/>
    <w:basedOn w:val="TableNormal"/>
    <w:uiPriority w:val="49"/>
    <w:rsid w:val="00057C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Loc15</b:Tag>
    <b:SourceType>DocumentFromInternetSite</b:SourceType>
    <b:Guid>{D469F73F-0F7B-46A2-99DD-153DC804B187}</b:Guid>
    <b:Title>Financial Sustainability Program - LGFS Info Paper 20 Rating and Other Funding Policy Options</b:Title>
    <b:Year>2015</b:Year>
    <b:Author>
      <b:Author>
        <b:Corporate>Local Government Association of South Australia</b:Corporate>
      </b:Author>
    </b:Author>
    <b:Month>May</b:Month>
    <b:URL>http://www.lga.sa.gov.au</b:URL>
    <b:InternetSiteTitle>Local Government Association of South Australia</b:InternetSiteTitle>
    <b:RefOrder>1</b:RefOrder>
  </b:Source>
  <b:Source>
    <b:Tag>She08</b:Tag>
    <b:SourceType>Report</b:SourceType>
    <b:Guid>{4C64C03F-216E-4238-9CAA-E19F9292C068}</b:Guid>
    <b:Title>Handbook on Citizen Engagement: Beyond Consultation</b:Title>
    <b:Year>2008</b:Year>
    <b:Publisher>Canadian Policy Research Networks</b:Publisher>
    <b:Author>
      <b:Author>
        <b:NameList>
          <b:Person>
            <b:Last>Sheedy</b:Last>
            <b:First>Amanda</b:First>
          </b:Person>
          <b:Person>
            <b:Last>MacKinnon</b:Last>
            <b:Middle>Pat</b:Middle>
            <b:First>Mary</b:First>
          </b:Person>
          <b:Person>
            <b:Last>Pitre</b:Last>
            <b:First>Sonia</b:First>
          </b:Person>
          <b:Person>
            <b:Last>Watling</b:Last>
            <b:First>Judy</b:First>
          </b:Person>
        </b:NameList>
      </b:Author>
    </b:Author>
    <b:RefOrder>2</b:RefOrder>
  </b:Source>
  <b:Source>
    <b:Tag>Aus11</b:Tag>
    <b:SourceType>InternetSite</b:SourceType>
    <b:Guid>{8B270809-C089-41FC-9B4E-A278B80A0140}</b:Guid>
    <b:Title>Census Data</b:Title>
    <b:Author>
      <b:Author>
        <b:Corporate>Australian Burearu of Statistics</b:Corporate>
      </b:Author>
    </b:Author>
    <b:URL>http://www.abs.gov.au/websitedbs/censushome.nsf/home/map</b:URL>
    <b:RefOrder>3</b:RefOrder>
  </b:Source>
  <b:Source>
    <b:Tag>Loc03</b:Tag>
    <b:SourceType>Report</b:SourceType>
    <b:Guid>{0971513D-E9BA-4445-B4B2-19249E8DEA74}</b:Guid>
    <b:Title>Flexible Approaches to Rate Setting - A Guide</b:Title>
    <b:Year>2003</b:Year>
    <b:Author>
      <b:Author>
        <b:Corporate>Local Government Association and Office of Local Government</b:Corporate>
      </b:Author>
    </b:Author>
    <b:RefOrder>4</b:RefOrder>
  </b:Source>
  <b:Source>
    <b:Tag>SAL</b:Tag>
    <b:SourceType>Report</b:SourceType>
    <b:Guid>{B9A49E18-01DC-48C2-9B1F-FF111FA7675C}</b:Guid>
    <b:Title>Database Reports</b:Title>
    <b:Author>
      <b:Author>
        <b:Corporate>SA Local Government Grants Commission</b:Corporate>
      </b:Author>
    </b:Author>
    <b:RefOrder>5</b:RefOrder>
  </b:Source>
  <b:Source>
    <b:Tag>Rem10</b:Tag>
    <b:SourceType>Misc</b:SourceType>
    <b:Guid>{E613A8C1-0549-4D0B-B3E8-ECA7884A7FFE}</b:Guid>
    <b:Title>Determination 6 of 2018</b:Title>
    <b:Year>2018</b:Year>
    <b:Author>
      <b:Author>
        <b:Corporate>Remuneration Tribunal of South Australia</b:Corporate>
      </b:Author>
    </b:Author>
    <b:YearAccessed>2014</b:YearAccessed>
    <b:MonthAccessed>December</b:MonthAccessed>
    <b:DayAccessed>11th</b:DayAccessed>
    <b:URL>http://www.remtribunal.sa.gov.au/determinations/local-government-allowances/R7%20of%202014%20Allowances%20for%20Members%20of%20Local%20Government%20Councils.pdf</b:URL>
    <b:ThesisType>Allowances for Members of Local Government Councils</b:ThesisType>
    <b:Institution>Remuneration Tribunal of South Australia</b:Institution>
    <b:RefOrder>6</b:RefOrder>
  </b:Source>
  <b:Source>
    <b:Tag>Sou15</b:Tag>
    <b:SourceType>Misc</b:SourceType>
    <b:Guid>{F3AF922F-4550-4E6F-89A6-D836A4753DDA}</b:Guid>
    <b:Author>
      <b:Author>
        <b:Corporate>South Australian Government</b:Corporate>
      </b:Author>
    </b:Author>
    <b:Title>Government Gazette</b:Title>
    <b:Publisher>Government Publishing SA</b:Publisher>
    <b:RefOrder>7</b:RefOrder>
  </b:Source>
  <b:Source>
    <b:Tag>Sou13</b:Tag>
    <b:SourceType>Misc</b:SourceType>
    <b:Guid>{DE1314EB-2FC4-48E6-9328-DF52606C34C7}</b:Guid>
    <b:Title>Local Government Act 1999</b:Title>
    <b:Author>
      <b:Author>
        <b:Corporate>South Australia</b:Corporate>
      </b:Author>
    </b:Author>
    <b:URL>http://www.legislation.sa.gov.au/LZ/C/A/LOCAL%20GOVERNMENT%20ACT%201999/CURRENT/1999.62.UN.PDF</b:URL>
    <b:RefOrder>8</b:RefOrder>
  </b:Source>
  <b:Source>
    <b:Tag>Dep13</b:Tag>
    <b:SourceType>Report</b:SourceType>
    <b:Guid>{0F40245B-C7A4-43BB-B28B-55F138403DC8}</b:Guid>
    <b:Title>Local Government National Report</b:Title>
    <b:Author>
      <b:Author>
        <b:Corporate>Department of Infrastructure and Regional Development</b:Corporate>
      </b:Author>
    </b:Author>
    <b:URL>http://regional.gov.au/local/publications/reports/2013_2014/INFRA2466_LGNR_2013-14.pdf</b:URL>
    <b:Year>2013-14</b:Year>
    <b:Publisher>Commonwealth of Australia, 2015</b:Publisher>
    <b:City>Canberra</b:City>
    <b:Department>Department of Infrastructure and Regional Development</b:Department>
    <b:Comments>2013-14 report on the operation of the Local Government (Financial Assistance) Act 1995</b:Comments>
    <b:RefOrder>9</b:RefOrder>
  </b:Source>
</b:Sources>
</file>

<file path=customXml/itemProps1.xml><?xml version="1.0" encoding="utf-8"?>
<ds:datastoreItem xmlns:ds="http://schemas.openxmlformats.org/officeDocument/2006/customXml" ds:itemID="{6DD0D0F5-114E-412B-A120-EFBEC8A1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Garrett</dc:creator>
  <cp:lastModifiedBy>Marcia Octoman</cp:lastModifiedBy>
  <cp:revision>2</cp:revision>
  <cp:lastPrinted>2023-10-18T00:41:00Z</cp:lastPrinted>
  <dcterms:created xsi:type="dcterms:W3CDTF">2023-10-23T05:13:00Z</dcterms:created>
  <dcterms:modified xsi:type="dcterms:W3CDTF">2023-10-23T05:13:00Z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